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3B1E3" w14:textId="6798936D" w:rsidR="00661832" w:rsidRPr="00CE175D" w:rsidRDefault="00661832" w:rsidP="00661832">
      <w:pPr>
        <w:rPr>
          <w:rFonts w:ascii="Arial" w:hAnsi="Arial" w:cs="Arial"/>
          <w:b/>
          <w:bCs/>
          <w:sz w:val="24"/>
          <w:szCs w:val="24"/>
        </w:rPr>
      </w:pPr>
      <w:bookmarkStart w:id="0" w:name="13-118"/>
      <w:r w:rsidRPr="00CE175D">
        <w:rPr>
          <w:rFonts w:ascii="Arial" w:hAnsi="Arial" w:cs="Arial"/>
          <w:b/>
          <w:bCs/>
          <w:sz w:val="24"/>
          <w:szCs w:val="24"/>
        </w:rPr>
        <w:t>13-118. Exclusion of witnesses. (</w:t>
      </w:r>
      <w:r w:rsidRPr="00CE175D">
        <w:rPr>
          <w:rFonts w:ascii="Arial" w:hAnsi="Arial" w:cs="Arial"/>
          <w:b/>
          <w:bCs/>
          <w:i/>
          <w:iCs/>
          <w:sz w:val="24"/>
          <w:szCs w:val="24"/>
        </w:rPr>
        <w:t>Optional</w:t>
      </w:r>
      <w:r w:rsidR="00697E2F" w:rsidRPr="00CE175D">
        <w:rPr>
          <w:rFonts w:ascii="Arial" w:hAnsi="Arial" w:cs="Arial"/>
          <w:b/>
          <w:bCs/>
          <w:i/>
          <w:iCs/>
          <w:sz w:val="24"/>
          <w:szCs w:val="24"/>
        </w:rPr>
        <w:t>.</w:t>
      </w:r>
      <w:r w:rsidRPr="00CE175D">
        <w:rPr>
          <w:rFonts w:ascii="Arial" w:hAnsi="Arial" w:cs="Arial"/>
          <w:b/>
          <w:bCs/>
          <w:sz w:val="24"/>
          <w:szCs w:val="24"/>
        </w:rPr>
        <w:t>)</w:t>
      </w:r>
      <w:bookmarkEnd w:id="0"/>
    </w:p>
    <w:p w14:paraId="6574E109" w14:textId="77777777" w:rsidR="00CA7ED8" w:rsidRPr="00CE175D" w:rsidRDefault="00CA7ED8" w:rsidP="00661832">
      <w:pPr>
        <w:rPr>
          <w:rFonts w:ascii="Arial" w:hAnsi="Arial" w:cs="Arial"/>
          <w:sz w:val="24"/>
          <w:szCs w:val="24"/>
        </w:rPr>
      </w:pPr>
    </w:p>
    <w:p w14:paraId="335C4EF9" w14:textId="6D40AE8A" w:rsidR="00661832" w:rsidRPr="00CE175D" w:rsidRDefault="00661832" w:rsidP="00CA7ED8">
      <w:pPr>
        <w:ind w:firstLine="360"/>
        <w:rPr>
          <w:rFonts w:ascii="Arial" w:hAnsi="Arial" w:cs="Arial"/>
          <w:sz w:val="24"/>
          <w:szCs w:val="24"/>
        </w:rPr>
      </w:pPr>
      <w:r w:rsidRPr="00CE175D">
        <w:rPr>
          <w:rFonts w:ascii="Arial" w:hAnsi="Arial" w:cs="Arial"/>
          <w:sz w:val="24"/>
          <w:szCs w:val="24"/>
        </w:rPr>
        <w:t>The rule of exclusion of witnesses is in effect. This means that, until excused as a witness by me, all witnesses will remain outside the courtroom except when testifying. They will wait in the areas directed by the bailiff unless other arrangements have been made with the attorney who has called them. The rule also forbids witnesses from telling anyone but the lawyers what they will testify about or what they have testified to. If witnesses do talk to the lawyers about their testimony, other witnesses and jurors should avoid being present or overhearing.</w:t>
      </w:r>
    </w:p>
    <w:p w14:paraId="6141FF14" w14:textId="77777777" w:rsidR="00CA7ED8" w:rsidRPr="00CE175D" w:rsidRDefault="00CA7ED8" w:rsidP="00CA7ED8">
      <w:pPr>
        <w:ind w:firstLine="360"/>
        <w:rPr>
          <w:rFonts w:ascii="Arial" w:hAnsi="Arial" w:cs="Arial"/>
          <w:sz w:val="24"/>
          <w:szCs w:val="24"/>
        </w:rPr>
      </w:pPr>
    </w:p>
    <w:p w14:paraId="774E6385" w14:textId="4FEA0EAE" w:rsidR="00661832" w:rsidRPr="00CE175D" w:rsidRDefault="00661832" w:rsidP="00CA7ED8">
      <w:pPr>
        <w:ind w:firstLine="360"/>
        <w:rPr>
          <w:rFonts w:ascii="Arial" w:hAnsi="Arial" w:cs="Arial"/>
          <w:sz w:val="24"/>
          <w:szCs w:val="24"/>
        </w:rPr>
      </w:pPr>
      <w:r w:rsidRPr="00CE175D">
        <w:rPr>
          <w:rFonts w:ascii="Arial" w:hAnsi="Arial" w:cs="Arial"/>
          <w:sz w:val="24"/>
          <w:szCs w:val="24"/>
        </w:rPr>
        <w:t>The lawyers are directed to inform all witnesses of these rules and to remind them of their obligations. The parties and their lawyers should keep a careful lookout to prevent any potential witness from remaining in the courtroom if they enter by mistake.</w:t>
      </w:r>
    </w:p>
    <w:p w14:paraId="22089EE1" w14:textId="77777777" w:rsidR="00CA7ED8" w:rsidRPr="00CE175D" w:rsidRDefault="00CA7ED8" w:rsidP="00661832">
      <w:pPr>
        <w:rPr>
          <w:rFonts w:ascii="Arial" w:hAnsi="Arial" w:cs="Arial"/>
          <w:sz w:val="24"/>
          <w:szCs w:val="24"/>
        </w:rPr>
      </w:pPr>
    </w:p>
    <w:p w14:paraId="154CE6F2" w14:textId="3BE38240" w:rsidR="00661832" w:rsidRPr="00CE175D" w:rsidRDefault="00661832" w:rsidP="00CA7ED8">
      <w:pPr>
        <w:jc w:val="center"/>
        <w:rPr>
          <w:rFonts w:ascii="Arial" w:hAnsi="Arial" w:cs="Arial"/>
          <w:sz w:val="24"/>
          <w:szCs w:val="24"/>
        </w:rPr>
      </w:pPr>
      <w:r w:rsidRPr="00CE175D">
        <w:rPr>
          <w:rFonts w:ascii="Arial" w:hAnsi="Arial" w:cs="Arial"/>
          <w:sz w:val="24"/>
          <w:szCs w:val="24"/>
        </w:rPr>
        <w:t>USE NOTES</w:t>
      </w:r>
    </w:p>
    <w:p w14:paraId="574670C1" w14:textId="77777777" w:rsidR="00CA7ED8" w:rsidRPr="00CE175D" w:rsidRDefault="00CA7ED8" w:rsidP="00661832">
      <w:pPr>
        <w:rPr>
          <w:rFonts w:ascii="Arial" w:hAnsi="Arial" w:cs="Arial"/>
          <w:sz w:val="24"/>
          <w:szCs w:val="24"/>
        </w:rPr>
      </w:pPr>
    </w:p>
    <w:p w14:paraId="42448EAE" w14:textId="14269E3B" w:rsidR="00661832" w:rsidRPr="00CE175D" w:rsidRDefault="00661832" w:rsidP="00CA7ED8">
      <w:pPr>
        <w:ind w:firstLine="360"/>
        <w:rPr>
          <w:rFonts w:ascii="Arial" w:hAnsi="Arial" w:cs="Arial"/>
          <w:sz w:val="24"/>
          <w:szCs w:val="24"/>
        </w:rPr>
      </w:pPr>
      <w:r w:rsidRPr="00CE175D">
        <w:rPr>
          <w:rFonts w:ascii="Arial" w:hAnsi="Arial" w:cs="Arial"/>
          <w:sz w:val="24"/>
          <w:szCs w:val="24"/>
        </w:rPr>
        <w:t>Rule</w:t>
      </w:r>
      <w:r w:rsidR="003C6027" w:rsidRPr="00CE175D">
        <w:rPr>
          <w:rFonts w:ascii="Arial" w:hAnsi="Arial" w:cs="Arial"/>
          <w:sz w:val="24"/>
          <w:szCs w:val="24"/>
        </w:rPr>
        <w:t xml:space="preserve"> </w:t>
      </w:r>
      <w:r w:rsidRPr="00CE175D">
        <w:rPr>
          <w:rFonts w:ascii="Arial" w:hAnsi="Arial" w:cs="Arial"/>
          <w:sz w:val="24"/>
          <w:szCs w:val="24"/>
        </w:rPr>
        <w:t>11-615</w:t>
      </w:r>
      <w:r w:rsidR="003C6027" w:rsidRPr="00CE175D">
        <w:rPr>
          <w:rFonts w:ascii="Arial" w:hAnsi="Arial" w:cs="Arial"/>
          <w:sz w:val="24"/>
          <w:szCs w:val="24"/>
        </w:rPr>
        <w:t xml:space="preserve"> </w:t>
      </w:r>
      <w:r w:rsidRPr="00CE175D">
        <w:rPr>
          <w:rFonts w:ascii="Arial" w:hAnsi="Arial" w:cs="Arial"/>
          <w:sz w:val="24"/>
          <w:szCs w:val="24"/>
        </w:rPr>
        <w:t>NMRA of the Rules of Evidence specifically provides that witnesses may be excluded so that they cannot hear the testimony of other witnesses. When properly invoked, this instruction is mandatory.</w:t>
      </w:r>
    </w:p>
    <w:p w14:paraId="44351C54" w14:textId="77777777" w:rsidR="00CA7ED8" w:rsidRPr="00CE175D" w:rsidRDefault="00CA7ED8" w:rsidP="00CA7ED8">
      <w:pPr>
        <w:ind w:firstLine="360"/>
        <w:rPr>
          <w:rFonts w:ascii="Arial" w:hAnsi="Arial" w:cs="Arial"/>
          <w:sz w:val="24"/>
          <w:szCs w:val="24"/>
        </w:rPr>
      </w:pPr>
    </w:p>
    <w:p w14:paraId="5B228EF6" w14:textId="44607A00" w:rsidR="00661832" w:rsidRPr="00CE175D" w:rsidRDefault="00661832" w:rsidP="00CA7ED8">
      <w:pPr>
        <w:ind w:firstLine="360"/>
        <w:rPr>
          <w:rFonts w:ascii="Arial" w:hAnsi="Arial" w:cs="Arial"/>
          <w:sz w:val="24"/>
          <w:szCs w:val="24"/>
        </w:rPr>
      </w:pPr>
      <w:r w:rsidRPr="00CE175D">
        <w:rPr>
          <w:rFonts w:ascii="Arial" w:hAnsi="Arial" w:cs="Arial"/>
          <w:sz w:val="24"/>
          <w:szCs w:val="24"/>
        </w:rPr>
        <w:t>The rule does not apply to a natural person who is a party or a designated representative of an association, corporation or like entity.</w:t>
      </w:r>
    </w:p>
    <w:p w14:paraId="626B1450" w14:textId="77777777" w:rsidR="00CA7ED8" w:rsidRPr="00CE175D" w:rsidRDefault="00CA7ED8" w:rsidP="00CA7ED8">
      <w:pPr>
        <w:ind w:firstLine="360"/>
        <w:rPr>
          <w:rFonts w:ascii="Arial" w:hAnsi="Arial" w:cs="Arial"/>
          <w:sz w:val="24"/>
          <w:szCs w:val="24"/>
        </w:rPr>
      </w:pPr>
    </w:p>
    <w:p w14:paraId="57D366D5" w14:textId="448CA38C" w:rsidR="00661832" w:rsidRPr="00CE175D" w:rsidRDefault="00661832" w:rsidP="00CA7ED8">
      <w:pPr>
        <w:ind w:firstLine="360"/>
        <w:rPr>
          <w:rFonts w:ascii="Arial" w:hAnsi="Arial" w:cs="Arial"/>
          <w:sz w:val="24"/>
          <w:szCs w:val="24"/>
        </w:rPr>
      </w:pPr>
      <w:r w:rsidRPr="00CE175D">
        <w:rPr>
          <w:rFonts w:ascii="Arial" w:hAnsi="Arial" w:cs="Arial"/>
          <w:sz w:val="24"/>
          <w:szCs w:val="24"/>
        </w:rPr>
        <w:t>Likewise, the rule does not apply to a person whose presence is shown by a party to be essential to the presentation of a claim, e.g., an agent who handled the transaction being litigated or an expert witness.</w:t>
      </w:r>
    </w:p>
    <w:p w14:paraId="66B274D7" w14:textId="77777777" w:rsidR="00CA7ED8" w:rsidRPr="00CE175D" w:rsidRDefault="00CA7ED8" w:rsidP="00661832">
      <w:pPr>
        <w:rPr>
          <w:rFonts w:ascii="Arial" w:hAnsi="Arial" w:cs="Arial"/>
          <w:sz w:val="24"/>
          <w:szCs w:val="24"/>
        </w:rPr>
      </w:pPr>
    </w:p>
    <w:p w14:paraId="641CCFB2" w14:textId="40F734D4" w:rsidR="00661832" w:rsidRPr="00CE175D" w:rsidRDefault="00661832" w:rsidP="00661832">
      <w:pPr>
        <w:rPr>
          <w:rFonts w:ascii="Arial" w:hAnsi="Arial" w:cs="Arial"/>
          <w:sz w:val="24"/>
          <w:szCs w:val="24"/>
        </w:rPr>
      </w:pPr>
      <w:r w:rsidRPr="00CE175D">
        <w:rPr>
          <w:rFonts w:ascii="Arial" w:hAnsi="Arial" w:cs="Arial"/>
          <w:sz w:val="24"/>
          <w:szCs w:val="24"/>
        </w:rPr>
        <w:t>[13-107; as amended, effective January 1, 1987; November 1, 1991; recompiled and amended, effective March 1, 2005.]</w:t>
      </w:r>
    </w:p>
    <w:p w14:paraId="4A18BFB9" w14:textId="47EA6A7F" w:rsidR="00214102" w:rsidRPr="00CE175D" w:rsidRDefault="00214102" w:rsidP="00214102">
      <w:pPr>
        <w:rPr>
          <w:rFonts w:ascii="Arial" w:hAnsi="Arial" w:cs="Arial"/>
          <w:sz w:val="24"/>
          <w:szCs w:val="24"/>
        </w:rPr>
      </w:pPr>
    </w:p>
    <w:sectPr w:rsidR="00214102" w:rsidRPr="00CE17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3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102"/>
    <w:rsid w:val="00214102"/>
    <w:rsid w:val="003C6027"/>
    <w:rsid w:val="00581EEB"/>
    <w:rsid w:val="00661832"/>
    <w:rsid w:val="00697E2F"/>
    <w:rsid w:val="006F6312"/>
    <w:rsid w:val="00770FBD"/>
    <w:rsid w:val="007B7159"/>
    <w:rsid w:val="00CA7ED8"/>
    <w:rsid w:val="00CE175D"/>
    <w:rsid w:val="00D5145C"/>
    <w:rsid w:val="00E311E6"/>
    <w:rsid w:val="00F20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1AF6F"/>
  <w15:chartTrackingRefBased/>
  <w15:docId w15:val="{F809CE4C-A27F-49A8-9215-909765C17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11E6"/>
    <w:rPr>
      <w:color w:val="0563C1" w:themeColor="hyperlink"/>
      <w:u w:val="single"/>
    </w:rPr>
  </w:style>
  <w:style w:type="character" w:styleId="UnresolvedMention">
    <w:name w:val="Unresolved Mention"/>
    <w:basedOn w:val="DefaultParagraphFont"/>
    <w:uiPriority w:val="99"/>
    <w:semiHidden/>
    <w:unhideWhenUsed/>
    <w:rsid w:val="00E311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89874">
      <w:bodyDiv w:val="1"/>
      <w:marLeft w:val="0"/>
      <w:marRight w:val="0"/>
      <w:marTop w:val="0"/>
      <w:marBottom w:val="0"/>
      <w:divBdr>
        <w:top w:val="none" w:sz="0" w:space="0" w:color="auto"/>
        <w:left w:val="none" w:sz="0" w:space="0" w:color="auto"/>
        <w:bottom w:val="none" w:sz="0" w:space="0" w:color="auto"/>
        <w:right w:val="none" w:sz="0" w:space="0" w:color="auto"/>
      </w:divBdr>
      <w:divsChild>
        <w:div w:id="1540623415">
          <w:marLeft w:val="0"/>
          <w:marRight w:val="0"/>
          <w:marTop w:val="0"/>
          <w:marBottom w:val="0"/>
          <w:divBdr>
            <w:top w:val="none" w:sz="0" w:space="0" w:color="auto"/>
            <w:left w:val="none" w:sz="0" w:space="0" w:color="auto"/>
            <w:bottom w:val="none" w:sz="0" w:space="0" w:color="auto"/>
            <w:right w:val="none" w:sz="0" w:space="0" w:color="auto"/>
          </w:divBdr>
        </w:div>
        <w:div w:id="384990505">
          <w:marLeft w:val="0"/>
          <w:marRight w:val="0"/>
          <w:marTop w:val="0"/>
          <w:marBottom w:val="0"/>
          <w:divBdr>
            <w:top w:val="none" w:sz="0" w:space="0" w:color="auto"/>
            <w:left w:val="none" w:sz="0" w:space="0" w:color="auto"/>
            <w:bottom w:val="none" w:sz="0" w:space="0" w:color="auto"/>
            <w:right w:val="none" w:sz="0" w:space="0" w:color="auto"/>
          </w:divBdr>
        </w:div>
        <w:div w:id="1108620315">
          <w:marLeft w:val="0"/>
          <w:marRight w:val="0"/>
          <w:marTop w:val="0"/>
          <w:marBottom w:val="0"/>
          <w:divBdr>
            <w:top w:val="none" w:sz="0" w:space="0" w:color="auto"/>
            <w:left w:val="none" w:sz="0" w:space="0" w:color="auto"/>
            <w:bottom w:val="none" w:sz="0" w:space="0" w:color="auto"/>
            <w:right w:val="none" w:sz="0" w:space="0" w:color="auto"/>
          </w:divBdr>
        </w:div>
        <w:div w:id="24137620">
          <w:marLeft w:val="0"/>
          <w:marRight w:val="0"/>
          <w:marTop w:val="0"/>
          <w:marBottom w:val="0"/>
          <w:divBdr>
            <w:top w:val="none" w:sz="0" w:space="0" w:color="auto"/>
            <w:left w:val="none" w:sz="0" w:space="0" w:color="auto"/>
            <w:bottom w:val="none" w:sz="0" w:space="0" w:color="auto"/>
            <w:right w:val="none" w:sz="0" w:space="0" w:color="auto"/>
          </w:divBdr>
        </w:div>
      </w:divsChild>
    </w:div>
    <w:div w:id="74743737">
      <w:bodyDiv w:val="1"/>
      <w:marLeft w:val="0"/>
      <w:marRight w:val="0"/>
      <w:marTop w:val="0"/>
      <w:marBottom w:val="0"/>
      <w:divBdr>
        <w:top w:val="none" w:sz="0" w:space="0" w:color="auto"/>
        <w:left w:val="none" w:sz="0" w:space="0" w:color="auto"/>
        <w:bottom w:val="none" w:sz="0" w:space="0" w:color="auto"/>
        <w:right w:val="none" w:sz="0" w:space="0" w:color="auto"/>
      </w:divBdr>
      <w:divsChild>
        <w:div w:id="70590701">
          <w:marLeft w:val="0"/>
          <w:marRight w:val="0"/>
          <w:marTop w:val="0"/>
          <w:marBottom w:val="0"/>
          <w:divBdr>
            <w:top w:val="none" w:sz="0" w:space="0" w:color="auto"/>
            <w:left w:val="none" w:sz="0" w:space="0" w:color="auto"/>
            <w:bottom w:val="none" w:sz="0" w:space="0" w:color="auto"/>
            <w:right w:val="none" w:sz="0" w:space="0" w:color="auto"/>
          </w:divBdr>
        </w:div>
        <w:div w:id="859776409">
          <w:marLeft w:val="0"/>
          <w:marRight w:val="0"/>
          <w:marTop w:val="0"/>
          <w:marBottom w:val="0"/>
          <w:divBdr>
            <w:top w:val="none" w:sz="0" w:space="0" w:color="auto"/>
            <w:left w:val="none" w:sz="0" w:space="0" w:color="auto"/>
            <w:bottom w:val="none" w:sz="0" w:space="0" w:color="auto"/>
            <w:right w:val="none" w:sz="0" w:space="0" w:color="auto"/>
          </w:divBdr>
        </w:div>
        <w:div w:id="2124954478">
          <w:marLeft w:val="0"/>
          <w:marRight w:val="0"/>
          <w:marTop w:val="0"/>
          <w:marBottom w:val="0"/>
          <w:divBdr>
            <w:top w:val="none" w:sz="0" w:space="0" w:color="auto"/>
            <w:left w:val="none" w:sz="0" w:space="0" w:color="auto"/>
            <w:bottom w:val="none" w:sz="0" w:space="0" w:color="auto"/>
            <w:right w:val="none" w:sz="0" w:space="0" w:color="auto"/>
          </w:divBdr>
        </w:div>
        <w:div w:id="63989632">
          <w:marLeft w:val="0"/>
          <w:marRight w:val="0"/>
          <w:marTop w:val="0"/>
          <w:marBottom w:val="0"/>
          <w:divBdr>
            <w:top w:val="none" w:sz="0" w:space="0" w:color="auto"/>
            <w:left w:val="none" w:sz="0" w:space="0" w:color="auto"/>
            <w:bottom w:val="none" w:sz="0" w:space="0" w:color="auto"/>
            <w:right w:val="none" w:sz="0" w:space="0" w:color="auto"/>
          </w:divBdr>
        </w:div>
        <w:div w:id="1141262908">
          <w:marLeft w:val="0"/>
          <w:marRight w:val="0"/>
          <w:marTop w:val="0"/>
          <w:marBottom w:val="0"/>
          <w:divBdr>
            <w:top w:val="none" w:sz="0" w:space="0" w:color="auto"/>
            <w:left w:val="none" w:sz="0" w:space="0" w:color="auto"/>
            <w:bottom w:val="none" w:sz="0" w:space="0" w:color="auto"/>
            <w:right w:val="none" w:sz="0" w:space="0" w:color="auto"/>
          </w:divBdr>
        </w:div>
      </w:divsChild>
    </w:div>
    <w:div w:id="1467116490">
      <w:bodyDiv w:val="1"/>
      <w:marLeft w:val="0"/>
      <w:marRight w:val="0"/>
      <w:marTop w:val="0"/>
      <w:marBottom w:val="0"/>
      <w:divBdr>
        <w:top w:val="none" w:sz="0" w:space="0" w:color="auto"/>
        <w:left w:val="none" w:sz="0" w:space="0" w:color="auto"/>
        <w:bottom w:val="none" w:sz="0" w:space="0" w:color="auto"/>
        <w:right w:val="none" w:sz="0" w:space="0" w:color="auto"/>
      </w:divBdr>
      <w:divsChild>
        <w:div w:id="1930386521">
          <w:marLeft w:val="0"/>
          <w:marRight w:val="0"/>
          <w:marTop w:val="0"/>
          <w:marBottom w:val="0"/>
          <w:divBdr>
            <w:top w:val="none" w:sz="0" w:space="0" w:color="auto"/>
            <w:left w:val="none" w:sz="0" w:space="0" w:color="auto"/>
            <w:bottom w:val="none" w:sz="0" w:space="0" w:color="auto"/>
            <w:right w:val="none" w:sz="0" w:space="0" w:color="auto"/>
          </w:divBdr>
        </w:div>
        <w:div w:id="1853640769">
          <w:marLeft w:val="0"/>
          <w:marRight w:val="0"/>
          <w:marTop w:val="0"/>
          <w:marBottom w:val="0"/>
          <w:divBdr>
            <w:top w:val="none" w:sz="0" w:space="0" w:color="auto"/>
            <w:left w:val="none" w:sz="0" w:space="0" w:color="auto"/>
            <w:bottom w:val="none" w:sz="0" w:space="0" w:color="auto"/>
            <w:right w:val="none" w:sz="0" w:space="0" w:color="auto"/>
          </w:divBdr>
        </w:div>
        <w:div w:id="1632858992">
          <w:marLeft w:val="0"/>
          <w:marRight w:val="0"/>
          <w:marTop w:val="0"/>
          <w:marBottom w:val="0"/>
          <w:divBdr>
            <w:top w:val="none" w:sz="0" w:space="0" w:color="auto"/>
            <w:left w:val="none" w:sz="0" w:space="0" w:color="auto"/>
            <w:bottom w:val="none" w:sz="0" w:space="0" w:color="auto"/>
            <w:right w:val="none" w:sz="0" w:space="0" w:color="auto"/>
          </w:divBdr>
        </w:div>
        <w:div w:id="1240099667">
          <w:marLeft w:val="0"/>
          <w:marRight w:val="0"/>
          <w:marTop w:val="0"/>
          <w:marBottom w:val="0"/>
          <w:divBdr>
            <w:top w:val="none" w:sz="0" w:space="0" w:color="auto"/>
            <w:left w:val="none" w:sz="0" w:space="0" w:color="auto"/>
            <w:bottom w:val="none" w:sz="0" w:space="0" w:color="auto"/>
            <w:right w:val="none" w:sz="0" w:space="0" w:color="auto"/>
          </w:divBdr>
        </w:div>
        <w:div w:id="3099063">
          <w:marLeft w:val="0"/>
          <w:marRight w:val="0"/>
          <w:marTop w:val="0"/>
          <w:marBottom w:val="0"/>
          <w:divBdr>
            <w:top w:val="none" w:sz="0" w:space="0" w:color="auto"/>
            <w:left w:val="none" w:sz="0" w:space="0" w:color="auto"/>
            <w:bottom w:val="none" w:sz="0" w:space="0" w:color="auto"/>
            <w:right w:val="none" w:sz="0" w:space="0" w:color="auto"/>
          </w:divBdr>
        </w:div>
        <w:div w:id="24257348">
          <w:marLeft w:val="0"/>
          <w:marRight w:val="0"/>
          <w:marTop w:val="0"/>
          <w:marBottom w:val="0"/>
          <w:divBdr>
            <w:top w:val="none" w:sz="0" w:space="0" w:color="auto"/>
            <w:left w:val="none" w:sz="0" w:space="0" w:color="auto"/>
            <w:bottom w:val="none" w:sz="0" w:space="0" w:color="auto"/>
            <w:right w:val="none" w:sz="0" w:space="0" w:color="auto"/>
          </w:divBdr>
        </w:div>
        <w:div w:id="1992826044">
          <w:marLeft w:val="0"/>
          <w:marRight w:val="0"/>
          <w:marTop w:val="0"/>
          <w:marBottom w:val="0"/>
          <w:divBdr>
            <w:top w:val="none" w:sz="0" w:space="0" w:color="auto"/>
            <w:left w:val="none" w:sz="0" w:space="0" w:color="auto"/>
            <w:bottom w:val="none" w:sz="0" w:space="0" w:color="auto"/>
            <w:right w:val="none" w:sz="0" w:space="0" w:color="auto"/>
          </w:divBdr>
        </w:div>
      </w:divsChild>
    </w:div>
    <w:div w:id="2116827652">
      <w:bodyDiv w:val="1"/>
      <w:marLeft w:val="0"/>
      <w:marRight w:val="0"/>
      <w:marTop w:val="0"/>
      <w:marBottom w:val="0"/>
      <w:divBdr>
        <w:top w:val="none" w:sz="0" w:space="0" w:color="auto"/>
        <w:left w:val="none" w:sz="0" w:space="0" w:color="auto"/>
        <w:bottom w:val="none" w:sz="0" w:space="0" w:color="auto"/>
        <w:right w:val="none" w:sz="0" w:space="0" w:color="auto"/>
      </w:divBdr>
      <w:divsChild>
        <w:div w:id="531842892">
          <w:marLeft w:val="0"/>
          <w:marRight w:val="0"/>
          <w:marTop w:val="0"/>
          <w:marBottom w:val="0"/>
          <w:divBdr>
            <w:top w:val="none" w:sz="0" w:space="0" w:color="auto"/>
            <w:left w:val="none" w:sz="0" w:space="0" w:color="auto"/>
            <w:bottom w:val="none" w:sz="0" w:space="0" w:color="auto"/>
            <w:right w:val="none" w:sz="0" w:space="0" w:color="auto"/>
          </w:divBdr>
        </w:div>
        <w:div w:id="1470856536">
          <w:marLeft w:val="0"/>
          <w:marRight w:val="0"/>
          <w:marTop w:val="0"/>
          <w:marBottom w:val="0"/>
          <w:divBdr>
            <w:top w:val="none" w:sz="0" w:space="0" w:color="auto"/>
            <w:left w:val="none" w:sz="0" w:space="0" w:color="auto"/>
            <w:bottom w:val="none" w:sz="0" w:space="0" w:color="auto"/>
            <w:right w:val="none" w:sz="0" w:space="0" w:color="auto"/>
          </w:divBdr>
        </w:div>
        <w:div w:id="1230723831">
          <w:marLeft w:val="0"/>
          <w:marRight w:val="0"/>
          <w:marTop w:val="0"/>
          <w:marBottom w:val="0"/>
          <w:divBdr>
            <w:top w:val="none" w:sz="0" w:space="0" w:color="auto"/>
            <w:left w:val="none" w:sz="0" w:space="0" w:color="auto"/>
            <w:bottom w:val="none" w:sz="0" w:space="0" w:color="auto"/>
            <w:right w:val="none" w:sz="0" w:space="0" w:color="auto"/>
          </w:divBdr>
        </w:div>
        <w:div w:id="1373381355">
          <w:marLeft w:val="0"/>
          <w:marRight w:val="0"/>
          <w:marTop w:val="0"/>
          <w:marBottom w:val="0"/>
          <w:divBdr>
            <w:top w:val="none" w:sz="0" w:space="0" w:color="auto"/>
            <w:left w:val="none" w:sz="0" w:space="0" w:color="auto"/>
            <w:bottom w:val="none" w:sz="0" w:space="0" w:color="auto"/>
            <w:right w:val="none" w:sz="0" w:space="0" w:color="auto"/>
          </w:divBdr>
        </w:div>
        <w:div w:id="2889775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35D5E44-7BB4-49FB-B853-8A272152ED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08D74D-45EB-4AC4-8E50-25D82828EB1E}">
  <ds:schemaRefs>
    <ds:schemaRef ds:uri="http://schemas.microsoft.com/sharepoint/v3/contenttype/forms"/>
  </ds:schemaRefs>
</ds:datastoreItem>
</file>

<file path=customXml/itemProps3.xml><?xml version="1.0" encoding="utf-8"?>
<ds:datastoreItem xmlns:ds="http://schemas.openxmlformats.org/officeDocument/2006/customXml" ds:itemID="{E7F2546E-80B8-44E5-9802-DA7923165F81}">
  <ds:schemaRefs>
    <ds:schemaRef ds:uri="http://schemas.microsoft.com/office/2006/metadata/properties"/>
    <ds:schemaRef ds:uri="http://schemas.microsoft.com/office/infopath/2007/PartnerControls"/>
    <ds:schemaRef ds:uri="b8139804-05ee-428b-977c-08510ab853ad"/>
    <ds:schemaRef ds:uri="677a6d1a-9d3a-43c4-be6b-84d43132ca40"/>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231</Words>
  <Characters>1320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Loretta Barela</dc:creator>
  <cp:keywords/>
  <dc:description/>
  <cp:lastModifiedBy>Cynthia SinghDhillon</cp:lastModifiedBy>
  <cp:revision>6</cp:revision>
  <dcterms:created xsi:type="dcterms:W3CDTF">2023-08-29T16:33:00Z</dcterms:created>
  <dcterms:modified xsi:type="dcterms:W3CDTF">2023-11-29T21:33:00Z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y fmtid="{D5CDD505-2E9C-101B-9397-08002B2CF9AE}" pid="3" name="MediaServiceImageTags">
    <vt:lpwstr/>
  </property>
</Properties>
</file>