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25F3" w14:textId="134F4EE7" w:rsidR="005D25EF" w:rsidRPr="005D25EF" w:rsidRDefault="005D25EF" w:rsidP="005D25E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5D25EF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D25EF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D25EF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D25EF">
        <w:rPr>
          <w:rFonts w:ascii="Arial" w:hAnsi="Arial" w:cs="Arial"/>
          <w:b/>
          <w:bCs/>
          <w:kern w:val="0"/>
          <w:sz w:val="24"/>
          <w:szCs w:val="24"/>
        </w:rPr>
        <w:t>13-910. Ordinary care.</w:t>
      </w:r>
    </w:p>
    <w:p w14:paraId="1D2DA66F" w14:textId="286230A6" w:rsidR="005D25EF" w:rsidRPr="005D25EF" w:rsidRDefault="005D25EF" w:rsidP="005D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5EF">
        <w:rPr>
          <w:rFonts w:ascii="Arial" w:hAnsi="Arial" w:cs="Arial"/>
          <w:kern w:val="0"/>
          <w:sz w:val="24"/>
          <w:szCs w:val="24"/>
        </w:rPr>
        <w:tab/>
        <w:t xml:space="preserve">Ordinary care is that care which a reasonably prudent person exercises in the management of [his] [her] own affairs.  "Ordinary care" is not an absolute term, but a relative one.  In deciding whether ordinary care has been exercised, the conduct in question must be considered in light of all the surrounding circumstances, as shown by the evidence. </w:t>
      </w:r>
    </w:p>
    <w:p w14:paraId="7B56AAEA" w14:textId="4C447FFF" w:rsidR="005D25EF" w:rsidRPr="005D25EF" w:rsidRDefault="005D25EF" w:rsidP="005D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5EF">
        <w:rPr>
          <w:rFonts w:ascii="Arial" w:hAnsi="Arial" w:cs="Arial"/>
          <w:kern w:val="0"/>
          <w:sz w:val="24"/>
          <w:szCs w:val="24"/>
        </w:rPr>
        <w:tab/>
        <w:t>What constitutes "ordinary care" varies with the nature of what is being done. As the danger that should reasonably be foreseen increases, so the amount of care required also increases.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6E7D4DC" w14:textId="7AEF37D1" w:rsidR="005D25EF" w:rsidRPr="005D25EF" w:rsidRDefault="005D25EF" w:rsidP="005D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DDCD85" w14:textId="2299E2B0" w:rsidR="005D25EF" w:rsidRPr="005D25EF" w:rsidRDefault="005D25EF" w:rsidP="005D25E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D25EF">
        <w:rPr>
          <w:rFonts w:ascii="Arial" w:hAnsi="Arial" w:cs="Arial"/>
          <w:kern w:val="0"/>
          <w:sz w:val="24"/>
          <w:szCs w:val="24"/>
        </w:rPr>
        <w:t>USE NOTE</w:t>
      </w:r>
      <w:r w:rsidR="004878DC">
        <w:rPr>
          <w:rFonts w:ascii="Arial" w:hAnsi="Arial" w:cs="Arial"/>
          <w:kern w:val="0"/>
          <w:sz w:val="24"/>
          <w:szCs w:val="24"/>
        </w:rPr>
        <w:t>S</w:t>
      </w:r>
    </w:p>
    <w:p w14:paraId="462239BD" w14:textId="7190A683" w:rsidR="005D25EF" w:rsidRPr="005D25EF" w:rsidRDefault="005D25EF" w:rsidP="005D2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D25EF">
        <w:rPr>
          <w:rFonts w:ascii="Arial" w:hAnsi="Arial" w:cs="Arial"/>
          <w:kern w:val="0"/>
          <w:sz w:val="24"/>
          <w:szCs w:val="24"/>
        </w:rPr>
        <w:tab/>
        <w:t xml:space="preserve">As in Chapter 16, it is proper to give this instruction following the negligence or contributory negligence instruction. </w:t>
      </w:r>
    </w:p>
    <w:p w14:paraId="53D8F3C4" w14:textId="0C71B241" w:rsidR="00C80F9C" w:rsidRPr="005D25EF" w:rsidRDefault="005D25EF" w:rsidP="005D25EF">
      <w:pPr>
        <w:rPr>
          <w:rFonts w:ascii="Arial" w:hAnsi="Arial" w:cs="Arial"/>
        </w:rPr>
      </w:pPr>
      <w:r w:rsidRPr="005D25EF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C80F9C" w:rsidRPr="005D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EF"/>
    <w:rsid w:val="004878DC"/>
    <w:rsid w:val="005D25EF"/>
    <w:rsid w:val="00C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53FA"/>
  <w15:chartTrackingRefBased/>
  <w15:docId w15:val="{F00D8D74-CD91-4B26-9651-CCF9924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927D3-ABAE-49B6-A881-EE8987309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8EED5-F666-4C2B-9819-83F5CCB67F3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000217C6-2B46-49D5-9A94-EACDEB870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Paul</cp:lastModifiedBy>
  <cp:revision>2</cp:revision>
  <dcterms:created xsi:type="dcterms:W3CDTF">2023-11-07T17:00:00Z</dcterms:created>
  <dcterms:modified xsi:type="dcterms:W3CDTF">2023-11-08T23:30:00Z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