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75ED" w14:textId="5477A0E1" w:rsidR="00AF1133" w:rsidRPr="0084275A" w:rsidRDefault="00500CFA" w:rsidP="0084275A">
      <w:pPr>
        <w:spacing w:line="240" w:lineRule="auto"/>
        <w:ind w:firstLine="0"/>
        <w:jc w:val="left"/>
        <w:rPr>
          <w:rFonts w:ascii="Arial" w:hAnsi="Arial" w:cs="Arial"/>
          <w:b/>
        </w:rPr>
      </w:pPr>
      <w:r w:rsidRPr="0084275A">
        <w:rPr>
          <w:rFonts w:ascii="Arial" w:hAnsi="Arial" w:cs="Arial"/>
          <w:b/>
        </w:rPr>
        <w:t>13-1704. Bad faith failure</w:t>
      </w:r>
      <w:r w:rsidR="00AF1133" w:rsidRPr="0084275A">
        <w:rPr>
          <w:rFonts w:ascii="Arial" w:hAnsi="Arial" w:cs="Arial"/>
          <w:b/>
        </w:rPr>
        <w:t xml:space="preserve"> </w:t>
      </w:r>
      <w:r w:rsidRPr="0084275A">
        <w:rPr>
          <w:rFonts w:ascii="Arial" w:hAnsi="Arial" w:cs="Arial"/>
          <w:b/>
        </w:rPr>
        <w:t>to settle.</w:t>
      </w:r>
    </w:p>
    <w:p w14:paraId="59CE2827" w14:textId="76314885" w:rsidR="00B97455" w:rsidRPr="0084275A" w:rsidRDefault="00B97455" w:rsidP="0084275A">
      <w:pPr>
        <w:spacing w:line="240" w:lineRule="auto"/>
        <w:jc w:val="left"/>
        <w:rPr>
          <w:rFonts w:ascii="Arial" w:hAnsi="Arial" w:cs="Arial"/>
        </w:rPr>
      </w:pPr>
      <w:r w:rsidRPr="0084275A">
        <w:rPr>
          <w:rFonts w:ascii="Arial" w:hAnsi="Arial" w:cs="Arial"/>
        </w:rPr>
        <w:t>An insurer [or agent] must act in good faith in determining whether to settl</w:t>
      </w:r>
      <w:r w:rsidR="001662CE" w:rsidRPr="0084275A">
        <w:rPr>
          <w:rFonts w:ascii="Arial" w:hAnsi="Arial" w:cs="Arial"/>
        </w:rPr>
        <w:t xml:space="preserve">e a claim against its insured. </w:t>
      </w:r>
      <w:r w:rsidRPr="0084275A">
        <w:rPr>
          <w:rFonts w:ascii="Arial" w:hAnsi="Arial" w:cs="Arial"/>
        </w:rPr>
        <w:t>It must settle a claim against its insured when practicable. In deciding whether to settle a claim, an insurer must exercise honest, informed judgment and fairly balance its own interests and the interests of the insured. An insurer that fa</w:t>
      </w:r>
      <w:r w:rsidR="001662CE" w:rsidRPr="0084275A">
        <w:rPr>
          <w:rFonts w:ascii="Arial" w:hAnsi="Arial" w:cs="Arial"/>
        </w:rPr>
        <w:t>ils to do so acts in bad faith.</w:t>
      </w:r>
      <w:r w:rsidRPr="0084275A">
        <w:rPr>
          <w:rFonts w:ascii="Arial" w:hAnsi="Arial" w:cs="Arial"/>
        </w:rPr>
        <w:t xml:space="preserve"> An insurer that acts honestly and fairly in </w:t>
      </w:r>
      <w:r w:rsidR="00F85974" w:rsidRPr="0084275A">
        <w:rPr>
          <w:rFonts w:ascii="Arial" w:hAnsi="Arial" w:cs="Arial"/>
        </w:rPr>
        <w:t xml:space="preserve">not settling </w:t>
      </w:r>
      <w:r w:rsidRPr="0084275A">
        <w:rPr>
          <w:rFonts w:ascii="Arial" w:hAnsi="Arial" w:cs="Arial"/>
        </w:rPr>
        <w:t xml:space="preserve">a claim, after conducting </w:t>
      </w:r>
      <w:r w:rsidR="00F85974" w:rsidRPr="0084275A">
        <w:rPr>
          <w:rFonts w:ascii="Arial" w:hAnsi="Arial" w:cs="Arial"/>
        </w:rPr>
        <w:t xml:space="preserve">a diligent, competent, and reasonable </w:t>
      </w:r>
      <w:r w:rsidRPr="0084275A">
        <w:rPr>
          <w:rFonts w:ascii="Arial" w:hAnsi="Arial" w:cs="Arial"/>
        </w:rPr>
        <w:t>investigation of the claim, is not liable for bad faith.</w:t>
      </w:r>
    </w:p>
    <w:p w14:paraId="154C10D8" w14:textId="676403C7" w:rsidR="00500CFA" w:rsidRPr="0084275A" w:rsidRDefault="00AF1133" w:rsidP="0084275A">
      <w:pPr>
        <w:spacing w:line="240" w:lineRule="auto"/>
        <w:jc w:val="left"/>
        <w:rPr>
          <w:rFonts w:ascii="Arial" w:hAnsi="Arial" w:cs="Arial"/>
          <w:strike/>
        </w:rPr>
      </w:pPr>
      <w:r w:rsidRPr="0084275A">
        <w:rPr>
          <w:rFonts w:ascii="Arial" w:hAnsi="Arial" w:cs="Arial"/>
        </w:rPr>
        <w:t>[Whe</w:t>
      </w:r>
      <w:r w:rsidR="00025C04" w:rsidRPr="0084275A">
        <w:rPr>
          <w:rFonts w:ascii="Arial" w:hAnsi="Arial" w:cs="Arial"/>
        </w:rPr>
        <w:t>n</w:t>
      </w:r>
      <w:r w:rsidRPr="0084275A">
        <w:rPr>
          <w:rFonts w:ascii="Arial" w:hAnsi="Arial" w:cs="Arial"/>
        </w:rPr>
        <w:t xml:space="preserve"> there is a substantia</w:t>
      </w:r>
      <w:r w:rsidR="004B15E6" w:rsidRPr="0084275A">
        <w:rPr>
          <w:rFonts w:ascii="Arial" w:hAnsi="Arial" w:cs="Arial"/>
        </w:rPr>
        <w:t>l</w:t>
      </w:r>
      <w:r w:rsidRPr="0084275A">
        <w:rPr>
          <w:rFonts w:ascii="Arial" w:hAnsi="Arial" w:cs="Arial"/>
        </w:rPr>
        <w:t xml:space="preserve"> likelihood that a claim will result in a recovery that exceeds policy limits, the insurer has a good-faith duty to minimize, if not eliminate, its insured’s liability.</w:t>
      </w:r>
      <w:r w:rsidR="00823E42" w:rsidRPr="0084275A">
        <w:rPr>
          <w:rFonts w:ascii="Arial" w:hAnsi="Arial" w:cs="Arial"/>
        </w:rPr>
        <w:t>]</w:t>
      </w:r>
      <w:r w:rsidRPr="0084275A">
        <w:rPr>
          <w:rFonts w:ascii="Arial" w:hAnsi="Arial" w:cs="Arial"/>
        </w:rPr>
        <w:t xml:space="preserve"> </w:t>
      </w:r>
      <w:r w:rsidR="00823E42" w:rsidRPr="0084275A">
        <w:rPr>
          <w:rFonts w:ascii="Arial" w:hAnsi="Arial" w:cs="Arial"/>
        </w:rPr>
        <w:t>[</w:t>
      </w:r>
      <w:r w:rsidR="004B15E6" w:rsidRPr="0084275A">
        <w:rPr>
          <w:rFonts w:ascii="Arial" w:hAnsi="Arial" w:cs="Arial"/>
        </w:rPr>
        <w:t>The insurer has a duty</w:t>
      </w:r>
      <w:r w:rsidRPr="0084275A">
        <w:rPr>
          <w:rFonts w:ascii="Arial" w:hAnsi="Arial" w:cs="Arial"/>
        </w:rPr>
        <w:t xml:space="preserve"> </w:t>
      </w:r>
      <w:r w:rsidR="00500CFA" w:rsidRPr="0084275A">
        <w:rPr>
          <w:rFonts w:ascii="Arial" w:hAnsi="Arial" w:cs="Arial"/>
        </w:rPr>
        <w:t>to accept reasonable settlement offers within policy limits.</w:t>
      </w:r>
      <w:r w:rsidR="004B15E6" w:rsidRPr="0084275A">
        <w:rPr>
          <w:rFonts w:ascii="Arial" w:hAnsi="Arial" w:cs="Arial"/>
        </w:rPr>
        <w:t>]</w:t>
      </w:r>
    </w:p>
    <w:p w14:paraId="7D9ECD14" w14:textId="77777777" w:rsidR="002D7C11" w:rsidRPr="0084275A" w:rsidRDefault="002D7C11" w:rsidP="0084275A">
      <w:pPr>
        <w:spacing w:line="240" w:lineRule="auto"/>
        <w:jc w:val="left"/>
        <w:rPr>
          <w:rFonts w:ascii="Arial" w:hAnsi="Arial" w:cs="Arial"/>
        </w:rPr>
      </w:pPr>
    </w:p>
    <w:p w14:paraId="7A40225C" w14:textId="77777777" w:rsidR="00500CFA" w:rsidRPr="0084275A" w:rsidRDefault="00500CFA" w:rsidP="00D52163">
      <w:pPr>
        <w:spacing w:line="240" w:lineRule="auto"/>
        <w:ind w:firstLine="0"/>
        <w:jc w:val="center"/>
        <w:rPr>
          <w:rFonts w:ascii="Arial" w:hAnsi="Arial" w:cs="Arial"/>
        </w:rPr>
      </w:pPr>
      <w:r w:rsidRPr="0084275A">
        <w:rPr>
          <w:rFonts w:ascii="Arial" w:hAnsi="Arial" w:cs="Arial"/>
        </w:rPr>
        <w:t>USE NOTES</w:t>
      </w:r>
    </w:p>
    <w:p w14:paraId="09732739" w14:textId="02DE9C1D" w:rsidR="00500CFA" w:rsidRPr="0084275A" w:rsidRDefault="00500CFA" w:rsidP="0084275A">
      <w:pPr>
        <w:spacing w:line="240" w:lineRule="auto"/>
        <w:jc w:val="left"/>
        <w:rPr>
          <w:rFonts w:ascii="Arial" w:hAnsi="Arial" w:cs="Arial"/>
        </w:rPr>
      </w:pPr>
      <w:r w:rsidRPr="0084275A">
        <w:rPr>
          <w:rFonts w:ascii="Arial" w:hAnsi="Arial" w:cs="Arial"/>
        </w:rPr>
        <w:t xml:space="preserve">This instruction must be given in any cause of action based </w:t>
      </w:r>
      <w:r w:rsidR="00025C04" w:rsidRPr="0084275A">
        <w:rPr>
          <w:rFonts w:ascii="Arial" w:hAnsi="Arial" w:cs="Arial"/>
        </w:rPr>
        <w:t>on</w:t>
      </w:r>
      <w:r w:rsidRPr="0084275A">
        <w:rPr>
          <w:rFonts w:ascii="Arial" w:hAnsi="Arial" w:cs="Arial"/>
        </w:rPr>
        <w:t xml:space="preserve"> a bad faith failure to negotiate or settle </w:t>
      </w:r>
      <w:r w:rsidR="00D1698D" w:rsidRPr="0084275A">
        <w:rPr>
          <w:rFonts w:ascii="Arial" w:hAnsi="Arial" w:cs="Arial"/>
        </w:rPr>
        <w:t xml:space="preserve">a </w:t>
      </w:r>
      <w:r w:rsidRPr="0084275A">
        <w:rPr>
          <w:rFonts w:ascii="Arial" w:hAnsi="Arial" w:cs="Arial"/>
        </w:rPr>
        <w:t>liability claim against the insured.</w:t>
      </w:r>
      <w:r w:rsidR="00D1035E" w:rsidRPr="0084275A">
        <w:rPr>
          <w:rFonts w:ascii="Arial" w:hAnsi="Arial" w:cs="Arial"/>
        </w:rPr>
        <w:t xml:space="preserve"> The bracketed language </w:t>
      </w:r>
      <w:r w:rsidR="00273A84" w:rsidRPr="0084275A">
        <w:rPr>
          <w:rFonts w:ascii="Arial" w:hAnsi="Arial" w:cs="Arial"/>
        </w:rPr>
        <w:t>about</w:t>
      </w:r>
      <w:r w:rsidR="00D1035E" w:rsidRPr="0084275A">
        <w:rPr>
          <w:rFonts w:ascii="Arial" w:hAnsi="Arial" w:cs="Arial"/>
        </w:rPr>
        <w:t xml:space="preserve"> agents may be used in cases involving an adjuster, broke</w:t>
      </w:r>
      <w:r w:rsidR="00352965" w:rsidRPr="0084275A">
        <w:rPr>
          <w:rFonts w:ascii="Arial" w:hAnsi="Arial" w:cs="Arial"/>
        </w:rPr>
        <w:t>r</w:t>
      </w:r>
      <w:r w:rsidR="00D1035E" w:rsidRPr="0084275A">
        <w:rPr>
          <w:rFonts w:ascii="Arial" w:hAnsi="Arial" w:cs="Arial"/>
        </w:rPr>
        <w:t xml:space="preserve">, or other person </w:t>
      </w:r>
      <w:r w:rsidR="005164EE" w:rsidRPr="0084275A">
        <w:rPr>
          <w:rFonts w:ascii="Arial" w:hAnsi="Arial" w:cs="Arial"/>
        </w:rPr>
        <w:t xml:space="preserve">or entity </w:t>
      </w:r>
      <w:r w:rsidR="00D1035E" w:rsidRPr="0084275A">
        <w:rPr>
          <w:rFonts w:ascii="Arial" w:hAnsi="Arial" w:cs="Arial"/>
        </w:rPr>
        <w:t>acting as or on behalf of an insurer</w:t>
      </w:r>
      <w:r w:rsidR="00250181" w:rsidRPr="0084275A">
        <w:rPr>
          <w:rFonts w:ascii="Arial" w:hAnsi="Arial" w:cs="Arial"/>
        </w:rPr>
        <w:t>; the general term “agent” may be modified as appropriate to fit the facts of the case</w:t>
      </w:r>
      <w:r w:rsidR="00D1035E" w:rsidRPr="0084275A">
        <w:rPr>
          <w:rFonts w:ascii="Arial" w:hAnsi="Arial" w:cs="Arial"/>
        </w:rPr>
        <w:t xml:space="preserve">. </w:t>
      </w:r>
      <w:r w:rsidR="0076538C" w:rsidRPr="0084275A">
        <w:rPr>
          <w:rFonts w:ascii="Arial" w:hAnsi="Arial" w:cs="Arial"/>
        </w:rPr>
        <w:t xml:space="preserve">The bracketed language </w:t>
      </w:r>
      <w:r w:rsidR="00A24F90" w:rsidRPr="0084275A">
        <w:rPr>
          <w:rFonts w:ascii="Arial" w:hAnsi="Arial" w:cs="Arial"/>
        </w:rPr>
        <w:t>about</w:t>
      </w:r>
      <w:r w:rsidR="0076538C" w:rsidRPr="0084275A">
        <w:rPr>
          <w:rFonts w:ascii="Arial" w:hAnsi="Arial" w:cs="Arial"/>
        </w:rPr>
        <w:t xml:space="preserve"> claims that pose a substantial likelihood of a recovery exceeding policy limits shall be used in cases involving claims that meet that description</w:t>
      </w:r>
      <w:r w:rsidR="00304451" w:rsidRPr="0084275A">
        <w:rPr>
          <w:rFonts w:ascii="Arial" w:hAnsi="Arial" w:cs="Arial"/>
        </w:rPr>
        <w:t xml:space="preserve">. The bracketed language </w:t>
      </w:r>
      <w:r w:rsidR="00A24F90" w:rsidRPr="0084275A">
        <w:rPr>
          <w:rFonts w:ascii="Arial" w:hAnsi="Arial" w:cs="Arial"/>
        </w:rPr>
        <w:t>about</w:t>
      </w:r>
      <w:r w:rsidR="00304451" w:rsidRPr="0084275A">
        <w:rPr>
          <w:rFonts w:ascii="Arial" w:hAnsi="Arial" w:cs="Arial"/>
        </w:rPr>
        <w:t xml:space="preserve"> reasonable settlement offers</w:t>
      </w:r>
      <w:r w:rsidR="0076538C" w:rsidRPr="0084275A">
        <w:rPr>
          <w:rFonts w:ascii="Arial" w:hAnsi="Arial" w:cs="Arial"/>
        </w:rPr>
        <w:t xml:space="preserve"> </w:t>
      </w:r>
      <w:r w:rsidR="00304451" w:rsidRPr="0084275A">
        <w:rPr>
          <w:rFonts w:ascii="Arial" w:hAnsi="Arial" w:cs="Arial"/>
        </w:rPr>
        <w:t>shall be used</w:t>
      </w:r>
      <w:r w:rsidR="0076538C" w:rsidRPr="0084275A">
        <w:rPr>
          <w:rFonts w:ascii="Arial" w:hAnsi="Arial" w:cs="Arial"/>
        </w:rPr>
        <w:t xml:space="preserve"> in cases where the claimant made an offer to settle within policy limits</w:t>
      </w:r>
      <w:r w:rsidR="00D1035E" w:rsidRPr="0084275A">
        <w:rPr>
          <w:rFonts w:ascii="Arial" w:hAnsi="Arial" w:cs="Arial"/>
        </w:rPr>
        <w:t>.</w:t>
      </w:r>
    </w:p>
    <w:p w14:paraId="21B47CAB" w14:textId="00CA8727" w:rsidR="00500CFA" w:rsidRPr="0084275A" w:rsidRDefault="00500CFA" w:rsidP="0084275A">
      <w:pPr>
        <w:spacing w:line="240" w:lineRule="auto"/>
        <w:ind w:firstLine="0"/>
        <w:jc w:val="left"/>
        <w:rPr>
          <w:rFonts w:ascii="Arial" w:hAnsi="Arial" w:cs="Arial"/>
        </w:rPr>
      </w:pPr>
      <w:r w:rsidRPr="0084275A">
        <w:rPr>
          <w:rFonts w:ascii="Arial" w:hAnsi="Arial" w:cs="Arial"/>
        </w:rPr>
        <w:t>[Adopt</w:t>
      </w:r>
      <w:r w:rsidR="001818FE" w:rsidRPr="0084275A">
        <w:rPr>
          <w:rFonts w:ascii="Arial" w:hAnsi="Arial" w:cs="Arial"/>
        </w:rPr>
        <w:t>ed, effective November 1, 1991</w:t>
      </w:r>
      <w:r w:rsidR="00D1035E" w:rsidRPr="0084275A">
        <w:rPr>
          <w:rFonts w:ascii="Arial" w:hAnsi="Arial" w:cs="Arial"/>
        </w:rPr>
        <w:t>; as amended by Supreme Court Order</w:t>
      </w:r>
      <w:r w:rsidR="00223444" w:rsidRPr="0084275A">
        <w:rPr>
          <w:rFonts w:ascii="Arial" w:hAnsi="Arial" w:cs="Arial"/>
        </w:rPr>
        <w:t xml:space="preserve"> No.</w:t>
      </w:r>
      <w:r w:rsidR="00CC241D">
        <w:rPr>
          <w:rFonts w:ascii="Arial" w:hAnsi="Arial" w:cs="Arial"/>
        </w:rPr>
        <w:t xml:space="preserve"> </w:t>
      </w:r>
      <w:r w:rsidR="00CC241D">
        <w:rPr>
          <w:rFonts w:ascii="Arial" w:hAnsi="Arial" w:cs="Arial"/>
          <w:szCs w:val="24"/>
        </w:rPr>
        <w:t>S-1-RCR-2023-00028</w:t>
      </w:r>
      <w:r w:rsidR="00D1035E" w:rsidRPr="0084275A">
        <w:rPr>
          <w:rFonts w:ascii="Arial" w:hAnsi="Arial" w:cs="Arial"/>
        </w:rPr>
        <w:t xml:space="preserve">, effective </w:t>
      </w:r>
      <w:r w:rsidR="002D7C11" w:rsidRPr="0084275A">
        <w:rPr>
          <w:rFonts w:ascii="Arial" w:hAnsi="Arial" w:cs="Arial"/>
        </w:rPr>
        <w:t>for all cases pending or filed on or after</w:t>
      </w:r>
      <w:r w:rsidR="00223444" w:rsidRPr="0084275A">
        <w:rPr>
          <w:rFonts w:ascii="Arial" w:hAnsi="Arial" w:cs="Arial"/>
        </w:rPr>
        <w:t xml:space="preserve"> December 31, 2023</w:t>
      </w:r>
      <w:r w:rsidR="00D25538" w:rsidRPr="0084275A">
        <w:rPr>
          <w:rFonts w:ascii="Arial" w:hAnsi="Arial" w:cs="Arial"/>
        </w:rPr>
        <w:t>.]</w:t>
      </w:r>
    </w:p>
    <w:p w14:paraId="6E681F08" w14:textId="77777777" w:rsidR="002D7C11" w:rsidRPr="0084275A" w:rsidRDefault="002D7C11" w:rsidP="0084275A">
      <w:pPr>
        <w:spacing w:line="240" w:lineRule="auto"/>
        <w:ind w:firstLine="0"/>
        <w:jc w:val="left"/>
        <w:rPr>
          <w:rFonts w:ascii="Arial" w:hAnsi="Arial" w:cs="Arial"/>
        </w:rPr>
      </w:pPr>
    </w:p>
    <w:sectPr w:rsidR="002D7C11" w:rsidRPr="0084275A" w:rsidSect="0084275A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BBCE" w14:textId="77777777" w:rsidR="0058774E" w:rsidRDefault="0058774E" w:rsidP="00AE66E6">
      <w:r>
        <w:separator/>
      </w:r>
    </w:p>
  </w:endnote>
  <w:endnote w:type="continuationSeparator" w:id="0">
    <w:p w14:paraId="671B6764" w14:textId="77777777" w:rsidR="0058774E" w:rsidRDefault="0058774E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FFFD" w14:textId="77777777" w:rsidR="0058774E" w:rsidRDefault="0058774E" w:rsidP="00AE66E6">
      <w:r>
        <w:separator/>
      </w:r>
    </w:p>
  </w:footnote>
  <w:footnote w:type="continuationSeparator" w:id="0">
    <w:p w14:paraId="7E02A674" w14:textId="77777777" w:rsidR="0058774E" w:rsidRDefault="0058774E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18372000">
    <w:abstractNumId w:val="0"/>
  </w:num>
  <w:num w:numId="2" w16cid:durableId="1955938422">
    <w:abstractNumId w:val="4"/>
  </w:num>
  <w:num w:numId="3" w16cid:durableId="1777672681">
    <w:abstractNumId w:val="1"/>
  </w:num>
  <w:num w:numId="4" w16cid:durableId="1622683214">
    <w:abstractNumId w:val="3"/>
  </w:num>
  <w:num w:numId="5" w16cid:durableId="1637249893">
    <w:abstractNumId w:val="5"/>
  </w:num>
  <w:num w:numId="6" w16cid:durableId="2003700408">
    <w:abstractNumId w:val="6"/>
  </w:num>
  <w:num w:numId="7" w16cid:durableId="1715228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FA"/>
    <w:rsid w:val="00025C04"/>
    <w:rsid w:val="00035FE4"/>
    <w:rsid w:val="0006105D"/>
    <w:rsid w:val="000C4BE4"/>
    <w:rsid w:val="001337B7"/>
    <w:rsid w:val="001662CE"/>
    <w:rsid w:val="0017569D"/>
    <w:rsid w:val="001818FE"/>
    <w:rsid w:val="001B683C"/>
    <w:rsid w:val="001E2331"/>
    <w:rsid w:val="002160C8"/>
    <w:rsid w:val="0021715F"/>
    <w:rsid w:val="00223444"/>
    <w:rsid w:val="0023030B"/>
    <w:rsid w:val="00250181"/>
    <w:rsid w:val="00273A84"/>
    <w:rsid w:val="002D6BBE"/>
    <w:rsid w:val="002D7C11"/>
    <w:rsid w:val="00301146"/>
    <w:rsid w:val="00304451"/>
    <w:rsid w:val="00307713"/>
    <w:rsid w:val="00312840"/>
    <w:rsid w:val="00337D4B"/>
    <w:rsid w:val="00352965"/>
    <w:rsid w:val="003F4283"/>
    <w:rsid w:val="0040014D"/>
    <w:rsid w:val="00487AC0"/>
    <w:rsid w:val="004B15E6"/>
    <w:rsid w:val="004C739D"/>
    <w:rsid w:val="004F38D1"/>
    <w:rsid w:val="00500CFA"/>
    <w:rsid w:val="005145D5"/>
    <w:rsid w:val="005164EE"/>
    <w:rsid w:val="005261BF"/>
    <w:rsid w:val="0058774E"/>
    <w:rsid w:val="005B011D"/>
    <w:rsid w:val="006807C5"/>
    <w:rsid w:val="006A0E82"/>
    <w:rsid w:val="0076538C"/>
    <w:rsid w:val="007C628B"/>
    <w:rsid w:val="007E127E"/>
    <w:rsid w:val="00807AC3"/>
    <w:rsid w:val="00812D84"/>
    <w:rsid w:val="008165DB"/>
    <w:rsid w:val="00823E42"/>
    <w:rsid w:val="00840636"/>
    <w:rsid w:val="0084275A"/>
    <w:rsid w:val="00842C8D"/>
    <w:rsid w:val="009010E9"/>
    <w:rsid w:val="00905EC1"/>
    <w:rsid w:val="00971232"/>
    <w:rsid w:val="009C53F2"/>
    <w:rsid w:val="00A24F90"/>
    <w:rsid w:val="00A3117F"/>
    <w:rsid w:val="00A4094A"/>
    <w:rsid w:val="00A42CF9"/>
    <w:rsid w:val="00A7116B"/>
    <w:rsid w:val="00A84DFC"/>
    <w:rsid w:val="00AB4F13"/>
    <w:rsid w:val="00AD18C6"/>
    <w:rsid w:val="00AE0EDB"/>
    <w:rsid w:val="00AE66E6"/>
    <w:rsid w:val="00AF1133"/>
    <w:rsid w:val="00B16FE1"/>
    <w:rsid w:val="00B25C45"/>
    <w:rsid w:val="00B52187"/>
    <w:rsid w:val="00B840AB"/>
    <w:rsid w:val="00B94C3C"/>
    <w:rsid w:val="00B97455"/>
    <w:rsid w:val="00BE4C8E"/>
    <w:rsid w:val="00C00CC4"/>
    <w:rsid w:val="00C460DB"/>
    <w:rsid w:val="00C52326"/>
    <w:rsid w:val="00C817D7"/>
    <w:rsid w:val="00CC241D"/>
    <w:rsid w:val="00D1035E"/>
    <w:rsid w:val="00D1698D"/>
    <w:rsid w:val="00D20663"/>
    <w:rsid w:val="00D25538"/>
    <w:rsid w:val="00D25CE7"/>
    <w:rsid w:val="00D37FEC"/>
    <w:rsid w:val="00D52163"/>
    <w:rsid w:val="00D95E90"/>
    <w:rsid w:val="00DB58AC"/>
    <w:rsid w:val="00DC6BB0"/>
    <w:rsid w:val="00DD7BE4"/>
    <w:rsid w:val="00DE009F"/>
    <w:rsid w:val="00E670A0"/>
    <w:rsid w:val="00E70D81"/>
    <w:rsid w:val="00E85A9D"/>
    <w:rsid w:val="00EA4B5E"/>
    <w:rsid w:val="00EE4B25"/>
    <w:rsid w:val="00F01C21"/>
    <w:rsid w:val="00F32729"/>
    <w:rsid w:val="00F85974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E4DC5"/>
  <w15:docId w15:val="{B313C975-CA8B-4EDF-9BDA-95512BD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500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1C997-80A0-4247-9D48-A459EA0D8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9F839-E8B6-4AF8-88B1-97D83C795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2A104-5BB1-405D-BD6D-5D767732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Dick</dc:creator>
  <cp:lastModifiedBy>Loretta Barela</cp:lastModifiedBy>
  <cp:revision>4</cp:revision>
  <dcterms:created xsi:type="dcterms:W3CDTF">2023-10-31T21:12:00Z</dcterms:created>
  <dcterms:modified xsi:type="dcterms:W3CDTF">2023-11-02T17:08:00Z</dcterms:modified>
</cp:coreProperties>
</file>