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4913" w14:textId="23A5E1BA" w:rsidR="001012B2" w:rsidRPr="00BD539B" w:rsidRDefault="001012B2" w:rsidP="00BD539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D539B">
        <w:rPr>
          <w:rFonts w:ascii="Arial" w:hAnsi="Arial" w:cs="Arial"/>
          <w:sz w:val="24"/>
          <w:szCs w:val="24"/>
          <w:lang w:val="en-CA"/>
        </w:rPr>
        <w:fldChar w:fldCharType="begin"/>
      </w:r>
      <w:r w:rsidRPr="00BD539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D539B">
        <w:rPr>
          <w:rFonts w:ascii="Arial" w:hAnsi="Arial" w:cs="Arial"/>
          <w:sz w:val="24"/>
          <w:szCs w:val="24"/>
          <w:lang w:val="en-CA"/>
        </w:rPr>
        <w:fldChar w:fldCharType="end"/>
      </w:r>
      <w:r w:rsidRPr="00BD539B">
        <w:rPr>
          <w:rFonts w:ascii="Arial" w:hAnsi="Arial" w:cs="Arial"/>
          <w:b/>
          <w:bCs/>
          <w:sz w:val="24"/>
          <w:szCs w:val="24"/>
        </w:rPr>
        <w:t>14-103. Explanation; instructions.</w:t>
      </w:r>
    </w:p>
    <w:p w14:paraId="47612C0D" w14:textId="38434B55" w:rsidR="001012B2" w:rsidRPr="00BD539B" w:rsidRDefault="001012B2">
      <w:pPr>
        <w:rPr>
          <w:rFonts w:ascii="Arial" w:hAnsi="Arial" w:cs="Arial"/>
          <w:sz w:val="24"/>
          <w:szCs w:val="24"/>
        </w:rPr>
      </w:pPr>
      <w:r w:rsidRPr="00BD539B">
        <w:rPr>
          <w:rFonts w:ascii="Arial" w:hAnsi="Arial" w:cs="Arial"/>
          <w:sz w:val="24"/>
          <w:szCs w:val="24"/>
        </w:rPr>
        <w:tab/>
        <w:t xml:space="preserve">You have heard all the evidence. It is now my duty to tell you the law that you must follow in this case. </w:t>
      </w:r>
    </w:p>
    <w:p w14:paraId="75E3D9DE" w14:textId="3AFA9719" w:rsidR="001012B2" w:rsidRPr="00BD539B" w:rsidRDefault="001012B2">
      <w:pPr>
        <w:rPr>
          <w:rFonts w:ascii="Arial" w:hAnsi="Arial" w:cs="Arial"/>
          <w:sz w:val="24"/>
          <w:szCs w:val="24"/>
        </w:rPr>
      </w:pPr>
    </w:p>
    <w:p w14:paraId="412A101C" w14:textId="5AFC2FF6" w:rsidR="001012B2" w:rsidRPr="00BD539B" w:rsidRDefault="001012B2" w:rsidP="00BD539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D539B">
        <w:rPr>
          <w:rFonts w:ascii="Arial" w:hAnsi="Arial" w:cs="Arial"/>
          <w:sz w:val="24"/>
          <w:szCs w:val="24"/>
        </w:rPr>
        <w:t>USE NOTE</w:t>
      </w:r>
      <w:r w:rsidR="00BD539B">
        <w:rPr>
          <w:rFonts w:ascii="Arial" w:hAnsi="Arial" w:cs="Arial"/>
          <w:sz w:val="24"/>
          <w:szCs w:val="24"/>
        </w:rPr>
        <w:t>S</w:t>
      </w:r>
    </w:p>
    <w:p w14:paraId="05B8E2C2" w14:textId="00B19EAB" w:rsidR="001012B2" w:rsidRPr="00BD539B" w:rsidRDefault="001012B2">
      <w:pPr>
        <w:rPr>
          <w:rFonts w:ascii="Arial" w:hAnsi="Arial" w:cs="Arial"/>
        </w:rPr>
      </w:pPr>
      <w:r w:rsidRPr="00BD539B">
        <w:rPr>
          <w:rFonts w:ascii="Arial" w:hAnsi="Arial" w:cs="Arial"/>
          <w:sz w:val="24"/>
          <w:szCs w:val="24"/>
        </w:rPr>
        <w:tab/>
        <w:t xml:space="preserve">For use after the close of the evidence. This instruction does not go to the jury room. </w:t>
      </w:r>
    </w:p>
    <w:sectPr w:rsidR="001012B2" w:rsidRPr="00BD539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223"/>
    <w:rsid w:val="001012B2"/>
    <w:rsid w:val="0019340D"/>
    <w:rsid w:val="00973223"/>
    <w:rsid w:val="00B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F911E9"/>
  <w14:defaultImageDpi w14:val="0"/>
  <w15:chartTrackingRefBased/>
  <w15:docId w15:val="{7A7F2F1E-41EA-47D9-8799-9A9E7E6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0BA78-F7B9-43B0-B79A-3B42C74CE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282DF-509B-4D64-9D23-67E09F1E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B8EC1-3524-41C1-B30B-DB66939EB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2023-12-01T23:03:00Z</dcterms:created>
  <dcterms:modified xsi:type="dcterms:W3CDTF">2023-12-01T23:03:00Z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