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245E" w14:textId="77777777" w:rsidR="00DF05C6" w:rsidRPr="006F6F60" w:rsidRDefault="00DF05C6" w:rsidP="00E93EA8">
      <w:pPr>
        <w:spacing w:before="100" w:beforeAutospacing="1"/>
        <w:rPr>
          <w:rFonts w:ascii="Arial" w:eastAsia="PMingLiU" w:hAnsi="Arial" w:cs="Arial"/>
        </w:rPr>
      </w:pPr>
      <w:r w:rsidRPr="006F6F60">
        <w:rPr>
          <w:rFonts w:ascii="Arial" w:eastAsia="PMingLiU" w:hAnsi="Arial" w:cs="Arial"/>
          <w:b/>
          <w:bCs/>
        </w:rPr>
        <w:t>14</w:t>
      </w:r>
      <w:r w:rsidR="00AE74A9" w:rsidRPr="006F6F60">
        <w:rPr>
          <w:rFonts w:ascii="Arial" w:eastAsia="PMingLiU" w:hAnsi="Arial" w:cs="Arial"/>
          <w:b/>
          <w:bCs/>
        </w:rPr>
        <w:t>-</w:t>
      </w:r>
      <w:r w:rsidRPr="006F6F60">
        <w:rPr>
          <w:rFonts w:ascii="Arial" w:eastAsia="PMingLiU" w:hAnsi="Arial" w:cs="Arial"/>
          <w:b/>
          <w:bCs/>
        </w:rPr>
        <w:t>5180. Defense of property.</w:t>
      </w:r>
      <w:r w:rsidRPr="006F6F60">
        <w:rPr>
          <w:rFonts w:ascii="Arial" w:eastAsia="PMingLiU" w:hAnsi="Arial" w:cs="Arial"/>
          <w:b/>
          <w:bCs/>
          <w:vertAlign w:val="superscript"/>
        </w:rPr>
        <w:t>1</w:t>
      </w:r>
    </w:p>
    <w:p w14:paraId="1BB800B1" w14:textId="77777777" w:rsidR="00DF05C6" w:rsidRPr="006F6F60" w:rsidRDefault="00DF05C6">
      <w:pPr>
        <w:ind w:firstLine="720"/>
        <w:rPr>
          <w:rFonts w:ascii="Arial" w:eastAsia="PMingLiU" w:hAnsi="Arial" w:cs="Arial"/>
        </w:rPr>
      </w:pPr>
      <w:r w:rsidRPr="006F6F60">
        <w:rPr>
          <w:rFonts w:ascii="Arial" w:eastAsia="PMingLiU" w:hAnsi="Arial" w:cs="Arial"/>
        </w:rPr>
        <w:t>An issue in this case is whether the defendant acted while defending property.</w:t>
      </w:r>
    </w:p>
    <w:p w14:paraId="7CFF5845" w14:textId="77777777" w:rsidR="00DF05C6" w:rsidRPr="006F6F60" w:rsidRDefault="00DF05C6">
      <w:pPr>
        <w:ind w:firstLine="720"/>
        <w:rPr>
          <w:rFonts w:ascii="Arial" w:eastAsia="PMingLiU" w:hAnsi="Arial" w:cs="Arial"/>
        </w:rPr>
      </w:pPr>
      <w:r w:rsidRPr="006F6F60">
        <w:rPr>
          <w:rFonts w:ascii="Arial" w:eastAsia="PMingLiU" w:hAnsi="Arial" w:cs="Arial"/>
        </w:rPr>
        <w:t xml:space="preserve">The defendant acted in defense of property </w:t>
      </w:r>
      <w:proofErr w:type="gramStart"/>
      <w:r w:rsidRPr="006F6F60">
        <w:rPr>
          <w:rFonts w:ascii="Arial" w:eastAsia="PMingLiU" w:hAnsi="Arial" w:cs="Arial"/>
        </w:rPr>
        <w:t>if</w:t>
      </w:r>
      <w:proofErr w:type="gramEnd"/>
    </w:p>
    <w:p w14:paraId="6AEA4454" w14:textId="77777777" w:rsidR="00DF05C6" w:rsidRPr="006F6F60" w:rsidRDefault="00DF05C6">
      <w:pPr>
        <w:ind w:firstLine="720"/>
        <w:rPr>
          <w:rFonts w:ascii="Arial" w:eastAsia="PMingLiU" w:hAnsi="Arial" w:cs="Arial"/>
        </w:rPr>
      </w:pPr>
      <w:r w:rsidRPr="006F6F60">
        <w:rPr>
          <w:rFonts w:ascii="Arial" w:eastAsia="PMingLiU" w:hAnsi="Arial" w:cs="Arial"/>
        </w:rPr>
        <w:t>1.</w:t>
      </w:r>
      <w:r w:rsidRPr="006F6F60">
        <w:rPr>
          <w:rFonts w:ascii="Arial" w:eastAsia="PMingLiU" w:hAnsi="Arial" w:cs="Arial"/>
        </w:rPr>
        <w:tab/>
        <w:t>The __________________</w:t>
      </w:r>
      <w:r w:rsidRPr="006F6F60">
        <w:rPr>
          <w:rFonts w:ascii="Arial" w:eastAsia="PMingLiU" w:hAnsi="Arial" w:cs="Arial"/>
          <w:vertAlign w:val="superscript"/>
        </w:rPr>
        <w:t>2</w:t>
      </w:r>
      <w:r w:rsidRPr="006F6F60">
        <w:rPr>
          <w:rFonts w:ascii="Arial" w:eastAsia="PMingLiU" w:hAnsi="Arial" w:cs="Arial"/>
        </w:rPr>
        <w:t xml:space="preserve"> was property [of the defendant]</w:t>
      </w:r>
      <w:r w:rsidRPr="006F6F60">
        <w:rPr>
          <w:rFonts w:ascii="Arial" w:eastAsia="PMingLiU" w:hAnsi="Arial" w:cs="Arial"/>
          <w:vertAlign w:val="superscript"/>
        </w:rPr>
        <w:t>3</w:t>
      </w:r>
      <w:r w:rsidRPr="006F6F60">
        <w:rPr>
          <w:rFonts w:ascii="Arial" w:eastAsia="PMingLiU" w:hAnsi="Arial" w:cs="Arial"/>
        </w:rPr>
        <w:t xml:space="preserve"> [in the defendant</w:t>
      </w:r>
      <w:r w:rsidR="00664CAA" w:rsidRPr="006F6F60">
        <w:rPr>
          <w:rFonts w:ascii="Arial" w:eastAsia="PMingLiU" w:hAnsi="Arial" w:cs="Arial"/>
        </w:rPr>
        <w:t>’</w:t>
      </w:r>
      <w:r w:rsidRPr="006F6F60">
        <w:rPr>
          <w:rFonts w:ascii="Arial" w:eastAsia="PMingLiU" w:hAnsi="Arial" w:cs="Arial"/>
        </w:rPr>
        <w:t>s lawful possession</w:t>
      </w:r>
      <w:r w:rsidRPr="006F6F60">
        <w:rPr>
          <w:rFonts w:ascii="Arial" w:eastAsia="PMingLiU" w:hAnsi="Arial" w:cs="Arial"/>
          <w:vertAlign w:val="superscript"/>
        </w:rPr>
        <w:t>4</w:t>
      </w:r>
      <w:proofErr w:type="gramStart"/>
      <w:r w:rsidRPr="006F6F60">
        <w:rPr>
          <w:rFonts w:ascii="Arial" w:eastAsia="PMingLiU" w:hAnsi="Arial" w:cs="Arial"/>
        </w:rPr>
        <w:t>];</w:t>
      </w:r>
      <w:proofErr w:type="gramEnd"/>
    </w:p>
    <w:p w14:paraId="384C2EB2" w14:textId="77777777" w:rsidR="00DF05C6" w:rsidRPr="006F6F60" w:rsidRDefault="00DF05C6">
      <w:pPr>
        <w:ind w:firstLine="720"/>
        <w:rPr>
          <w:rFonts w:ascii="Arial" w:eastAsia="PMingLiU" w:hAnsi="Arial" w:cs="Arial"/>
        </w:rPr>
      </w:pPr>
      <w:r w:rsidRPr="006F6F60">
        <w:rPr>
          <w:rFonts w:ascii="Arial" w:eastAsia="PMingLiU" w:hAnsi="Arial" w:cs="Arial"/>
        </w:rPr>
        <w:t>2.</w:t>
      </w:r>
      <w:r w:rsidRPr="006F6F60">
        <w:rPr>
          <w:rFonts w:ascii="Arial" w:eastAsia="PMingLiU" w:hAnsi="Arial" w:cs="Arial"/>
        </w:rPr>
        <w:tab/>
        <w:t xml:space="preserve">It appeared to the defendant that __________________ </w:t>
      </w:r>
      <w:r w:rsidR="00664CAA" w:rsidRPr="006F6F60">
        <w:rPr>
          <w:rFonts w:ascii="Arial" w:eastAsia="PMingLiU" w:hAnsi="Arial" w:cs="Arial"/>
        </w:rPr>
        <w:t>(</w:t>
      </w:r>
      <w:r w:rsidRPr="006F6F60">
        <w:rPr>
          <w:rFonts w:ascii="Arial" w:eastAsia="PMingLiU" w:hAnsi="Arial" w:cs="Arial"/>
          <w:i/>
          <w:iCs/>
        </w:rPr>
        <w:t>name of victim</w:t>
      </w:r>
      <w:r w:rsidRPr="006F6F60">
        <w:rPr>
          <w:rFonts w:ascii="Arial" w:eastAsia="PMingLiU" w:hAnsi="Arial" w:cs="Arial"/>
        </w:rPr>
        <w:t xml:space="preserve">) was about to __________________ </w:t>
      </w:r>
      <w:r w:rsidR="00664CAA" w:rsidRPr="006F6F60">
        <w:rPr>
          <w:rFonts w:ascii="Arial" w:eastAsia="PMingLiU" w:hAnsi="Arial" w:cs="Arial"/>
        </w:rPr>
        <w:t>(</w:t>
      </w:r>
      <w:r w:rsidRPr="006F6F60">
        <w:rPr>
          <w:rFonts w:ascii="Arial" w:eastAsia="PMingLiU" w:hAnsi="Arial" w:cs="Arial"/>
          <w:i/>
          <w:iCs/>
        </w:rPr>
        <w:t>describe act</w:t>
      </w:r>
      <w:r w:rsidRPr="006F6F60">
        <w:rPr>
          <w:rFonts w:ascii="Arial" w:eastAsia="PMingLiU" w:hAnsi="Arial" w:cs="Arial"/>
        </w:rPr>
        <w:t xml:space="preserve">) and that it was necessary to __________________ </w:t>
      </w:r>
      <w:r w:rsidR="00664CAA" w:rsidRPr="006F6F60">
        <w:rPr>
          <w:rFonts w:ascii="Arial" w:eastAsia="PMingLiU" w:hAnsi="Arial" w:cs="Arial"/>
        </w:rPr>
        <w:t>(</w:t>
      </w:r>
      <w:r w:rsidRPr="006F6F60">
        <w:rPr>
          <w:rFonts w:ascii="Arial" w:eastAsia="PMingLiU" w:hAnsi="Arial" w:cs="Arial"/>
          <w:i/>
          <w:iCs/>
        </w:rPr>
        <w:t>describe defendant</w:t>
      </w:r>
      <w:r w:rsidR="00664CAA" w:rsidRPr="006F6F60">
        <w:rPr>
          <w:rFonts w:ascii="Arial" w:eastAsia="PMingLiU" w:hAnsi="Arial" w:cs="Arial"/>
          <w:i/>
          <w:iCs/>
        </w:rPr>
        <w:t>’</w:t>
      </w:r>
      <w:r w:rsidRPr="006F6F60">
        <w:rPr>
          <w:rFonts w:ascii="Arial" w:eastAsia="PMingLiU" w:hAnsi="Arial" w:cs="Arial"/>
          <w:i/>
          <w:iCs/>
        </w:rPr>
        <w:t>s action</w:t>
      </w:r>
      <w:r w:rsidRPr="006F6F60">
        <w:rPr>
          <w:rFonts w:ascii="Arial" w:eastAsia="PMingLiU" w:hAnsi="Arial" w:cs="Arial"/>
        </w:rPr>
        <w:t xml:space="preserve">) in order to stop __________________ </w:t>
      </w:r>
      <w:r w:rsidR="00664CAA" w:rsidRPr="006F6F60">
        <w:rPr>
          <w:rFonts w:ascii="Arial" w:eastAsia="PMingLiU" w:hAnsi="Arial" w:cs="Arial"/>
        </w:rPr>
        <w:t>(</w:t>
      </w:r>
      <w:r w:rsidRPr="006F6F60">
        <w:rPr>
          <w:rFonts w:ascii="Arial" w:eastAsia="PMingLiU" w:hAnsi="Arial" w:cs="Arial"/>
          <w:i/>
          <w:iCs/>
        </w:rPr>
        <w:t>name of victim</w:t>
      </w:r>
      <w:r w:rsidRPr="006F6F60">
        <w:rPr>
          <w:rFonts w:ascii="Arial" w:eastAsia="PMingLiU" w:hAnsi="Arial" w:cs="Arial"/>
        </w:rPr>
        <w:t>);</w:t>
      </w:r>
    </w:p>
    <w:p w14:paraId="5DA836F5" w14:textId="77777777" w:rsidR="00DF05C6" w:rsidRPr="006F6F60" w:rsidRDefault="00DF05C6">
      <w:pPr>
        <w:ind w:firstLine="720"/>
        <w:rPr>
          <w:rFonts w:ascii="Arial" w:eastAsia="PMingLiU" w:hAnsi="Arial" w:cs="Arial"/>
        </w:rPr>
      </w:pPr>
      <w:r w:rsidRPr="006F6F60">
        <w:rPr>
          <w:rFonts w:ascii="Arial" w:eastAsia="PMingLiU" w:hAnsi="Arial" w:cs="Arial"/>
        </w:rPr>
        <w:t>3.</w:t>
      </w:r>
      <w:r w:rsidRPr="006F6F60">
        <w:rPr>
          <w:rFonts w:ascii="Arial" w:eastAsia="PMingLiU" w:hAnsi="Arial" w:cs="Arial"/>
        </w:rPr>
        <w:tab/>
        <w:t xml:space="preserve">The defendant used an amount of force that the defendant believed was reasonable and necessary to defend the </w:t>
      </w:r>
      <w:proofErr w:type="gramStart"/>
      <w:r w:rsidRPr="006F6F60">
        <w:rPr>
          <w:rFonts w:ascii="Arial" w:eastAsia="PMingLiU" w:hAnsi="Arial" w:cs="Arial"/>
        </w:rPr>
        <w:t>property;</w:t>
      </w:r>
      <w:proofErr w:type="gramEnd"/>
    </w:p>
    <w:p w14:paraId="19513C1C" w14:textId="77777777" w:rsidR="00DF05C6" w:rsidRPr="006F6F60" w:rsidRDefault="00DF05C6">
      <w:pPr>
        <w:ind w:firstLine="720"/>
        <w:rPr>
          <w:rFonts w:ascii="Arial" w:eastAsia="PMingLiU" w:hAnsi="Arial" w:cs="Arial"/>
        </w:rPr>
      </w:pPr>
      <w:r w:rsidRPr="006F6F60">
        <w:rPr>
          <w:rFonts w:ascii="Arial" w:eastAsia="PMingLiU" w:hAnsi="Arial" w:cs="Arial"/>
        </w:rPr>
        <w:t>4.</w:t>
      </w:r>
      <w:r w:rsidRPr="006F6F60">
        <w:rPr>
          <w:rFonts w:ascii="Arial" w:eastAsia="PMingLiU" w:hAnsi="Arial" w:cs="Arial"/>
        </w:rPr>
        <w:tab/>
        <w:t xml:space="preserve">A reasonable person in the same circumstances as the defendant would have acted as the defendant </w:t>
      </w:r>
      <w:proofErr w:type="gramStart"/>
      <w:r w:rsidRPr="006F6F60">
        <w:rPr>
          <w:rFonts w:ascii="Arial" w:eastAsia="PMingLiU" w:hAnsi="Arial" w:cs="Arial"/>
        </w:rPr>
        <w:t>did;</w:t>
      </w:r>
      <w:proofErr w:type="gramEnd"/>
    </w:p>
    <w:p w14:paraId="5C7BAF40" w14:textId="77777777" w:rsidR="00DF05C6" w:rsidRPr="006F6F60" w:rsidRDefault="00DF05C6">
      <w:pPr>
        <w:ind w:firstLine="720"/>
        <w:rPr>
          <w:rFonts w:ascii="Arial" w:eastAsia="PMingLiU" w:hAnsi="Arial" w:cs="Arial"/>
        </w:rPr>
      </w:pPr>
      <w:r w:rsidRPr="006F6F60">
        <w:rPr>
          <w:rFonts w:ascii="Arial" w:eastAsia="PMingLiU" w:hAnsi="Arial" w:cs="Arial"/>
        </w:rPr>
        <w:t>[5.</w:t>
      </w:r>
      <w:r w:rsidRPr="006F6F60">
        <w:rPr>
          <w:rFonts w:ascii="Arial" w:eastAsia="PMingLiU" w:hAnsi="Arial" w:cs="Arial"/>
        </w:rPr>
        <w:tab/>
        <w:t>The force used by the defendant would not ordinarily create a substantial risk of death or great bodily harm.]</w:t>
      </w:r>
      <w:proofErr w:type="gramStart"/>
      <w:r w:rsidRPr="006F6F60">
        <w:rPr>
          <w:rFonts w:ascii="Arial" w:eastAsia="PMingLiU" w:hAnsi="Arial" w:cs="Arial"/>
          <w:vertAlign w:val="superscript"/>
        </w:rPr>
        <w:t>5</w:t>
      </w:r>
      <w:proofErr w:type="gramEnd"/>
    </w:p>
    <w:p w14:paraId="0FFF031E" w14:textId="77777777" w:rsidR="00DF05C6" w:rsidRPr="006F6F60" w:rsidRDefault="00DF05C6">
      <w:pPr>
        <w:ind w:firstLine="720"/>
        <w:rPr>
          <w:rFonts w:ascii="Arial" w:eastAsia="PMingLiU" w:hAnsi="Arial" w:cs="Arial"/>
        </w:rPr>
      </w:pPr>
      <w:r w:rsidRPr="006F6F60">
        <w:rPr>
          <w:rFonts w:ascii="Arial" w:eastAsia="PMingLiU" w:hAnsi="Arial" w:cs="Arial"/>
        </w:rPr>
        <w:t>The burden is on the state to prove beyond a reasonable doubt that the defendant did not act in defense of __________________</w:t>
      </w:r>
      <w:r w:rsidRPr="006F6F60">
        <w:rPr>
          <w:rFonts w:ascii="Arial" w:eastAsia="PMingLiU" w:hAnsi="Arial" w:cs="Arial"/>
          <w:vertAlign w:val="superscript"/>
        </w:rPr>
        <w:t>2</w:t>
      </w:r>
      <w:r w:rsidRPr="006F6F60">
        <w:rPr>
          <w:rFonts w:ascii="Arial" w:eastAsia="PMingLiU" w:hAnsi="Arial" w:cs="Arial"/>
        </w:rPr>
        <w:t>. If you have a reasonable doubt as to whether the defendant acted in defense of property, you must find the defendant not guilty.</w:t>
      </w:r>
    </w:p>
    <w:p w14:paraId="452759B5" w14:textId="77777777" w:rsidR="00DF05C6" w:rsidRPr="006F6F60" w:rsidRDefault="00DF05C6">
      <w:pPr>
        <w:rPr>
          <w:rFonts w:ascii="Arial" w:eastAsia="PMingLiU" w:hAnsi="Arial" w:cs="Arial"/>
        </w:rPr>
      </w:pPr>
    </w:p>
    <w:p w14:paraId="11A95D5B" w14:textId="0F1D0C08" w:rsidR="00DF05C6" w:rsidRPr="006F6F60" w:rsidRDefault="00DF05C6" w:rsidP="006F6F60">
      <w:pPr>
        <w:spacing w:before="100" w:beforeAutospacing="1" w:after="100" w:afterAutospacing="1"/>
        <w:jc w:val="center"/>
        <w:rPr>
          <w:rFonts w:ascii="Arial" w:eastAsia="PMingLiU" w:hAnsi="Arial" w:cs="Arial"/>
        </w:rPr>
      </w:pPr>
      <w:r w:rsidRPr="006F6F60">
        <w:rPr>
          <w:rFonts w:ascii="Arial" w:eastAsia="PMingLiU" w:hAnsi="Arial" w:cs="Arial"/>
        </w:rPr>
        <w:t>USE NOTE</w:t>
      </w:r>
      <w:r w:rsidR="006F6F60">
        <w:rPr>
          <w:rFonts w:ascii="Arial" w:eastAsia="PMingLiU" w:hAnsi="Arial" w:cs="Arial"/>
        </w:rPr>
        <w:t>S</w:t>
      </w:r>
    </w:p>
    <w:p w14:paraId="296F356A" w14:textId="77777777" w:rsidR="00DF05C6" w:rsidRPr="006F6F60" w:rsidRDefault="00DF05C6">
      <w:pPr>
        <w:ind w:firstLine="720"/>
        <w:rPr>
          <w:rFonts w:ascii="Arial" w:eastAsia="PMingLiU" w:hAnsi="Arial" w:cs="Arial"/>
        </w:rPr>
      </w:pPr>
      <w:r w:rsidRPr="006F6F60">
        <w:rPr>
          <w:rFonts w:ascii="Arial" w:eastAsia="PMingLiU" w:hAnsi="Arial" w:cs="Arial"/>
        </w:rPr>
        <w:t>1.</w:t>
      </w:r>
      <w:r w:rsidRPr="006F6F60">
        <w:rPr>
          <w:rFonts w:ascii="Arial" w:eastAsia="PMingLiU" w:hAnsi="Arial" w:cs="Arial"/>
        </w:rPr>
        <w:tab/>
        <w:t>For use when defense is based on defense of property against either felony act or nonfelony act. UJI 14</w:t>
      </w:r>
      <w:r w:rsidR="00AE74A9" w:rsidRPr="006F6F60">
        <w:rPr>
          <w:rFonts w:ascii="Arial" w:eastAsia="PMingLiU" w:hAnsi="Arial" w:cs="Arial"/>
        </w:rPr>
        <w:t>-</w:t>
      </w:r>
      <w:r w:rsidRPr="006F6F60">
        <w:rPr>
          <w:rFonts w:ascii="Arial" w:eastAsia="PMingLiU" w:hAnsi="Arial" w:cs="Arial"/>
        </w:rPr>
        <w:t xml:space="preserve">5170 NMRA is used for justifiable </w:t>
      </w:r>
      <w:proofErr w:type="gramStart"/>
      <w:r w:rsidRPr="006F6F60">
        <w:rPr>
          <w:rFonts w:ascii="Arial" w:eastAsia="PMingLiU" w:hAnsi="Arial" w:cs="Arial"/>
        </w:rPr>
        <w:t>homicide;</w:t>
      </w:r>
      <w:proofErr w:type="gramEnd"/>
      <w:r w:rsidRPr="006F6F60">
        <w:rPr>
          <w:rFonts w:ascii="Arial" w:eastAsia="PMingLiU" w:hAnsi="Arial" w:cs="Arial"/>
        </w:rPr>
        <w:t xml:space="preserve"> defense of habitation. UJI 14</w:t>
      </w:r>
      <w:r w:rsidR="00AE74A9" w:rsidRPr="006F6F60">
        <w:rPr>
          <w:rFonts w:ascii="Arial" w:eastAsia="PMingLiU" w:hAnsi="Arial" w:cs="Arial"/>
        </w:rPr>
        <w:t>-</w:t>
      </w:r>
      <w:r w:rsidRPr="006F6F60">
        <w:rPr>
          <w:rFonts w:ascii="Arial" w:eastAsia="PMingLiU" w:hAnsi="Arial" w:cs="Arial"/>
        </w:rPr>
        <w:t xml:space="preserve">5171 NMRA </w:t>
      </w:r>
      <w:r w:rsidR="00664CAA" w:rsidRPr="006F6F60">
        <w:rPr>
          <w:rFonts w:ascii="Arial" w:eastAsia="PMingLiU" w:hAnsi="Arial" w:cs="Arial"/>
        </w:rPr>
        <w:t>(</w:t>
      </w:r>
      <w:r w:rsidRPr="006F6F60">
        <w:rPr>
          <w:rFonts w:ascii="Arial" w:eastAsia="PMingLiU" w:hAnsi="Arial" w:cs="Arial"/>
        </w:rPr>
        <w:t>Justifiable homicide; self</w:t>
      </w:r>
      <w:r w:rsidRPr="006F6F60">
        <w:rPr>
          <w:rFonts w:ascii="Arial" w:eastAsia="PMingLiU" w:hAnsi="Arial" w:cs="Arial"/>
        </w:rPr>
        <w:noBreakHyphen/>
        <w:t xml:space="preserve">defense) is used if unlawful interference with property is accompanied by threat of death or great bodily harm. If this instruction is given, add to the essential elements instruction for the offense charged, </w:t>
      </w:r>
      <w:r w:rsidR="00664CAA" w:rsidRPr="006F6F60">
        <w:rPr>
          <w:rFonts w:ascii="Arial" w:eastAsia="PMingLiU" w:hAnsi="Arial" w:cs="Arial"/>
        </w:rPr>
        <w:t>“</w:t>
      </w:r>
      <w:r w:rsidRPr="006F6F60">
        <w:rPr>
          <w:rFonts w:ascii="Arial" w:eastAsia="PMingLiU" w:hAnsi="Arial" w:cs="Arial"/>
        </w:rPr>
        <w:t>The defendant did not act in defense of property.</w:t>
      </w:r>
      <w:r w:rsidR="00664CAA" w:rsidRPr="006F6F60">
        <w:rPr>
          <w:rFonts w:ascii="Arial" w:eastAsia="PMingLiU" w:hAnsi="Arial" w:cs="Arial"/>
        </w:rPr>
        <w:t>”</w:t>
      </w:r>
    </w:p>
    <w:p w14:paraId="2A60F6AE" w14:textId="77777777" w:rsidR="00DF05C6" w:rsidRPr="006F6F60" w:rsidRDefault="00DF05C6">
      <w:pPr>
        <w:ind w:firstLine="720"/>
        <w:rPr>
          <w:rFonts w:ascii="Arial" w:eastAsia="PMingLiU" w:hAnsi="Arial" w:cs="Arial"/>
        </w:rPr>
      </w:pPr>
      <w:r w:rsidRPr="006F6F60">
        <w:rPr>
          <w:rFonts w:ascii="Arial" w:eastAsia="PMingLiU" w:hAnsi="Arial" w:cs="Arial"/>
        </w:rPr>
        <w:t>2.</w:t>
      </w:r>
      <w:r w:rsidRPr="006F6F60">
        <w:rPr>
          <w:rFonts w:ascii="Arial" w:eastAsia="PMingLiU" w:hAnsi="Arial" w:cs="Arial"/>
        </w:rPr>
        <w:tab/>
        <w:t>Describe the property.</w:t>
      </w:r>
    </w:p>
    <w:p w14:paraId="64E43C83" w14:textId="77777777" w:rsidR="00DF05C6" w:rsidRPr="006F6F60" w:rsidRDefault="00DF05C6">
      <w:pPr>
        <w:ind w:firstLine="720"/>
        <w:rPr>
          <w:rFonts w:ascii="Arial" w:eastAsia="PMingLiU" w:hAnsi="Arial" w:cs="Arial"/>
        </w:rPr>
      </w:pPr>
      <w:r w:rsidRPr="006F6F60">
        <w:rPr>
          <w:rFonts w:ascii="Arial" w:eastAsia="PMingLiU" w:hAnsi="Arial" w:cs="Arial"/>
        </w:rPr>
        <w:t>3.</w:t>
      </w:r>
      <w:r w:rsidRPr="006F6F60">
        <w:rPr>
          <w:rFonts w:ascii="Arial" w:eastAsia="PMingLiU" w:hAnsi="Arial" w:cs="Arial"/>
        </w:rPr>
        <w:tab/>
        <w:t>Use only the applicable bracketed language.</w:t>
      </w:r>
    </w:p>
    <w:p w14:paraId="22F25C7C" w14:textId="77777777" w:rsidR="00DF05C6" w:rsidRPr="006F6F60" w:rsidRDefault="00DF05C6">
      <w:pPr>
        <w:ind w:firstLine="720"/>
        <w:rPr>
          <w:rFonts w:ascii="Arial" w:eastAsia="PMingLiU" w:hAnsi="Arial" w:cs="Arial"/>
        </w:rPr>
      </w:pPr>
      <w:r w:rsidRPr="006F6F60">
        <w:rPr>
          <w:rFonts w:ascii="Arial" w:eastAsia="PMingLiU" w:hAnsi="Arial" w:cs="Arial"/>
        </w:rPr>
        <w:t>4.</w:t>
      </w:r>
      <w:r w:rsidRPr="006F6F60">
        <w:rPr>
          <w:rFonts w:ascii="Arial" w:eastAsia="PMingLiU" w:hAnsi="Arial" w:cs="Arial"/>
        </w:rPr>
        <w:tab/>
        <w:t>If there is a question of fact as to whether the defendant was in lawful possession of the property, an appropriate instruction must be prepared.</w:t>
      </w:r>
    </w:p>
    <w:p w14:paraId="46D2D44B" w14:textId="77777777" w:rsidR="00DF05C6" w:rsidRPr="006F6F60" w:rsidRDefault="00DF05C6">
      <w:pPr>
        <w:ind w:firstLine="720"/>
        <w:rPr>
          <w:rFonts w:ascii="Arial" w:eastAsia="PMingLiU" w:hAnsi="Arial" w:cs="Arial"/>
        </w:rPr>
      </w:pPr>
      <w:r w:rsidRPr="006F6F60">
        <w:rPr>
          <w:rFonts w:ascii="Arial" w:eastAsia="PMingLiU" w:hAnsi="Arial" w:cs="Arial"/>
        </w:rPr>
        <w:t>5.</w:t>
      </w:r>
      <w:r w:rsidRPr="006F6F60">
        <w:rPr>
          <w:rFonts w:ascii="Arial" w:eastAsia="PMingLiU" w:hAnsi="Arial" w:cs="Arial"/>
        </w:rPr>
        <w:tab/>
        <w:t xml:space="preserve">Use bracketed material only if the defendant's action resulted in death or great bodily harm. If the bracketed material is used, the definition of </w:t>
      </w:r>
      <w:r w:rsidR="00664CAA" w:rsidRPr="006F6F60">
        <w:rPr>
          <w:rFonts w:ascii="Arial" w:eastAsia="PMingLiU" w:hAnsi="Arial" w:cs="Arial"/>
        </w:rPr>
        <w:t>“</w:t>
      </w:r>
      <w:r w:rsidRPr="006F6F60">
        <w:rPr>
          <w:rFonts w:ascii="Arial" w:eastAsia="PMingLiU" w:hAnsi="Arial" w:cs="Arial"/>
        </w:rPr>
        <w:t>great bodily harm,</w:t>
      </w:r>
      <w:r w:rsidR="00664CAA" w:rsidRPr="006F6F60">
        <w:rPr>
          <w:rFonts w:ascii="Arial" w:eastAsia="PMingLiU" w:hAnsi="Arial" w:cs="Arial"/>
        </w:rPr>
        <w:t>”</w:t>
      </w:r>
      <w:r w:rsidRPr="006F6F60">
        <w:rPr>
          <w:rFonts w:ascii="Arial" w:eastAsia="PMingLiU" w:hAnsi="Arial" w:cs="Arial"/>
        </w:rPr>
        <w:t xml:space="preserve"> UJI 14</w:t>
      </w:r>
      <w:r w:rsidR="00AE74A9" w:rsidRPr="006F6F60">
        <w:rPr>
          <w:rFonts w:ascii="Arial" w:eastAsia="PMingLiU" w:hAnsi="Arial" w:cs="Arial"/>
        </w:rPr>
        <w:t>-</w:t>
      </w:r>
      <w:r w:rsidRPr="006F6F60">
        <w:rPr>
          <w:rFonts w:ascii="Arial" w:eastAsia="PMingLiU" w:hAnsi="Arial" w:cs="Arial"/>
        </w:rPr>
        <w:t>131 NMRA, must also be given if not already given.</w:t>
      </w:r>
    </w:p>
    <w:p w14:paraId="21271385" w14:textId="77777777" w:rsidR="00DF05C6" w:rsidRPr="006F6F60" w:rsidRDefault="00DF05C6">
      <w:pPr>
        <w:rPr>
          <w:rFonts w:ascii="Arial" w:eastAsia="PMingLiU" w:hAnsi="Arial" w:cs="Arial"/>
        </w:rPr>
      </w:pPr>
      <w:r w:rsidRPr="006F6F60">
        <w:rPr>
          <w:rFonts w:ascii="Arial" w:eastAsia="PMingLiU" w:hAnsi="Arial" w:cs="Arial"/>
        </w:rPr>
        <w:t>[As amended, effective January 1, 1997; as amended by Supreme Court Order No. 18-8300-012, effective for all cases pending or filed on or after December 31, 2018.]</w:t>
      </w:r>
    </w:p>
    <w:sectPr w:rsidR="00DF05C6" w:rsidRPr="006F6F60" w:rsidSect="00DF05C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BDCB" w14:textId="77777777" w:rsidR="00872A8D" w:rsidRDefault="00872A8D">
      <w:r>
        <w:separator/>
      </w:r>
    </w:p>
  </w:endnote>
  <w:endnote w:type="continuationSeparator" w:id="0">
    <w:p w14:paraId="3E7CB3AE" w14:textId="77777777" w:rsidR="00872A8D" w:rsidRDefault="0087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4830" w14:textId="77777777" w:rsidR="00872A8D" w:rsidRDefault="00872A8D">
      <w:r>
        <w:separator/>
      </w:r>
    </w:p>
  </w:footnote>
  <w:footnote w:type="continuationSeparator" w:id="0">
    <w:p w14:paraId="4D724D64" w14:textId="77777777" w:rsidR="00872A8D" w:rsidRDefault="0087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5C6"/>
    <w:rsid w:val="00274C35"/>
    <w:rsid w:val="00664CAA"/>
    <w:rsid w:val="006F6F60"/>
    <w:rsid w:val="00872A8D"/>
    <w:rsid w:val="00AE74A9"/>
    <w:rsid w:val="00BB593B"/>
    <w:rsid w:val="00DF05C6"/>
    <w:rsid w:val="00E9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C1D4379"/>
  <w15:chartTrackingRefBased/>
  <w15:docId w15:val="{51BEDB6B-F057-43BB-91B7-52EF7390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664CAA"/>
    <w:pPr>
      <w:tabs>
        <w:tab w:val="center" w:pos="4320"/>
        <w:tab w:val="right" w:pos="8640"/>
      </w:tabs>
    </w:pPr>
  </w:style>
  <w:style w:type="paragraph" w:styleId="Footer">
    <w:name w:val="footer"/>
    <w:basedOn w:val="Normal"/>
    <w:rsid w:val="00664CA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57DF9-DFBB-42FB-9968-4B2BFCA96903}">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5E02175C-30A7-452C-9EF9-54DCB8E55D8E}">
  <ds:schemaRefs>
    <ds:schemaRef ds:uri="http://schemas.microsoft.com/sharepoint/v3/contenttype/forms"/>
  </ds:schemaRefs>
</ds:datastoreItem>
</file>

<file path=customXml/itemProps3.xml><?xml version="1.0" encoding="utf-8"?>
<ds:datastoreItem xmlns:ds="http://schemas.openxmlformats.org/officeDocument/2006/customXml" ds:itemID="{9E7C274D-E3E5-4E0B-81A6-48F9432F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2023-12-11T21:37:00Z</dcterms:created>
  <dcterms:modified xsi:type="dcterms:W3CDTF">2023-12-12T21:45:00Z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