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F9C9" w14:textId="5FF08C2D" w:rsidR="00C55D29" w:rsidRPr="00C55D29" w:rsidRDefault="00C55D29" w:rsidP="00C55D2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C55D29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C55D29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C55D29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C55D29">
        <w:rPr>
          <w:rFonts w:ascii="Arial" w:hAnsi="Arial" w:cs="Arial"/>
          <w:b/>
          <w:bCs/>
          <w:kern w:val="0"/>
          <w:sz w:val="24"/>
          <w:szCs w:val="24"/>
        </w:rPr>
        <w:t>13-1406. Strict products liability; care not an issue.</w:t>
      </w:r>
      <w:r w:rsidRPr="00C55D29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EE37056" w14:textId="77777777" w:rsidR="00C55D29" w:rsidRPr="00C55D29" w:rsidRDefault="00C55D29" w:rsidP="00C55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55D29">
        <w:rPr>
          <w:rFonts w:ascii="Arial" w:hAnsi="Arial" w:cs="Arial"/>
          <w:kern w:val="0"/>
          <w:sz w:val="24"/>
          <w:szCs w:val="24"/>
        </w:rPr>
        <w:tab/>
        <w:t xml:space="preserve">Under the “products liability” claim, a supplier in the business of putting a product on the market is liable for harm caused by an unreasonable risk of injury resulting from a condition of the product or from a manner of its use. Such a risk makes the product defective. This rule applies even though all possible care has been used by the supplier in putting the product on the market. </w:t>
      </w:r>
    </w:p>
    <w:p w14:paraId="46593E53" w14:textId="2A3E7D8E" w:rsidR="00C55D29" w:rsidRPr="00C55D29" w:rsidRDefault="00C55D29" w:rsidP="00C55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55D29">
        <w:rPr>
          <w:rFonts w:ascii="Arial" w:hAnsi="Arial" w:cs="Arial"/>
          <w:kern w:val="0"/>
          <w:sz w:val="24"/>
          <w:szCs w:val="24"/>
        </w:rPr>
        <w:tab/>
        <w:t xml:space="preserve">The liability of the supplier is [to persons whom the supplier can reasonably expect to use the product] [and] [to persons whom the supplier can reasonably expect to be in the vicinity during the use of the product]. </w:t>
      </w:r>
    </w:p>
    <w:p w14:paraId="68B8E0FF" w14:textId="1899A303" w:rsidR="00C55D29" w:rsidRPr="00C55D29" w:rsidRDefault="00C55D29" w:rsidP="00C55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9C9797" w14:textId="590F70BF" w:rsidR="00C55D29" w:rsidRPr="00C55D29" w:rsidRDefault="00C55D29" w:rsidP="00C55D2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C55D29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6D70467B" w14:textId="176E22F3" w:rsidR="00C55D29" w:rsidRPr="00C55D29" w:rsidRDefault="00C55D29" w:rsidP="00C55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55D29">
        <w:rPr>
          <w:rFonts w:ascii="Arial" w:hAnsi="Arial" w:cs="Arial"/>
          <w:kern w:val="0"/>
          <w:sz w:val="24"/>
          <w:szCs w:val="24"/>
        </w:rPr>
        <w:tab/>
        <w:t xml:space="preserve">This is the basic instruction defining strict products liability and, together with UJI 13-1407, must be used in every strict products liability case based upon Restatement (Second) of Torts § 402A. For bystander injury, use the second bracketed phrase. </w:t>
      </w:r>
    </w:p>
    <w:p w14:paraId="28247327" w14:textId="773F859D" w:rsidR="00476673" w:rsidRPr="00C55D29" w:rsidRDefault="00C55D29" w:rsidP="00C55D29">
      <w:pPr>
        <w:rPr>
          <w:rFonts w:ascii="Arial" w:hAnsi="Arial" w:cs="Arial"/>
        </w:rPr>
      </w:pPr>
      <w:r w:rsidRPr="00C55D29">
        <w:rPr>
          <w:rFonts w:ascii="Arial" w:hAnsi="Arial" w:cs="Arial"/>
          <w:kern w:val="0"/>
          <w:sz w:val="24"/>
          <w:szCs w:val="24"/>
        </w:rPr>
        <w:t xml:space="preserve">[Adopted by Supreme Court Order No. 09-8300-011, effective May 15, 2009.] </w:t>
      </w:r>
    </w:p>
    <w:sectPr w:rsidR="00476673" w:rsidRPr="00C55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9"/>
    <w:rsid w:val="00476673"/>
    <w:rsid w:val="00C5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2E3D"/>
  <w15:chartTrackingRefBased/>
  <w15:docId w15:val="{CB977F6B-112D-4EBD-86BE-20CB0309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0256CC-7C45-4129-B521-A57248DFDFA6}"/>
</file>

<file path=customXml/itemProps2.xml><?xml version="1.0" encoding="utf-8"?>
<ds:datastoreItem xmlns:ds="http://schemas.openxmlformats.org/officeDocument/2006/customXml" ds:itemID="{C6B5E129-FE8E-4AC1-B613-4AE75E02650B}"/>
</file>

<file path=customXml/itemProps3.xml><?xml version="1.0" encoding="utf-8"?>
<ds:datastoreItem xmlns:ds="http://schemas.openxmlformats.org/officeDocument/2006/customXml" ds:itemID="{CAC97811-DD0F-4E0E-803C-9E0F0FCA0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2023-11-14T21:39:00Z</dcterms:created>
  <dcterms:modified xsi:type="dcterms:W3CDTF">2023-11-14T21:40:00Z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