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7B7A" w14:textId="5032C2DC" w:rsidR="00550191" w:rsidRPr="00550191" w:rsidRDefault="00550191" w:rsidP="0055019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550191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550191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550191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550191">
        <w:rPr>
          <w:rFonts w:ascii="Arial" w:hAnsi="Arial" w:cs="Arial"/>
          <w:b/>
          <w:bCs/>
          <w:kern w:val="0"/>
          <w:sz w:val="24"/>
          <w:szCs w:val="24"/>
        </w:rPr>
        <w:t>13-1116A. Causation; failure to inform; condition treated.</w:t>
      </w:r>
    </w:p>
    <w:p w14:paraId="16E2B9C9" w14:textId="34980B51" w:rsidR="00550191" w:rsidRPr="00550191" w:rsidRDefault="00550191" w:rsidP="00550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50191">
        <w:rPr>
          <w:rFonts w:ascii="Arial" w:hAnsi="Arial" w:cs="Arial"/>
          <w:kern w:val="0"/>
          <w:sz w:val="24"/>
          <w:szCs w:val="24"/>
        </w:rPr>
        <w:tab/>
        <w:t>A doctor who fails in [his] [her] duty to communicate [alternatives for treatment] [inherent and potential hazards] is liable for harm to the patient resulting from the [treatment] [operation] if a reasonably prudent patient [or patient's representative] under similar circumstances would not have consented to the [treatment] [operation] had [he] [she] known of the [alternatives for treatment] [inherent and potential hazards].</w:t>
      </w:r>
    </w:p>
    <w:p w14:paraId="12FE0BEB" w14:textId="77777777" w:rsidR="00550191" w:rsidRPr="00550191" w:rsidRDefault="00550191" w:rsidP="00550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71BFD2E" w14:textId="466A623D" w:rsidR="00550191" w:rsidRPr="00550191" w:rsidRDefault="00550191" w:rsidP="005501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550191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47CC9A23" w14:textId="69AF5CD4" w:rsidR="00550191" w:rsidRPr="00550191" w:rsidRDefault="00550191" w:rsidP="00550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50191">
        <w:rPr>
          <w:rFonts w:ascii="Arial" w:hAnsi="Arial" w:cs="Arial"/>
          <w:kern w:val="0"/>
          <w:sz w:val="24"/>
          <w:szCs w:val="24"/>
        </w:rPr>
        <w:tab/>
        <w:t>Either UJI 13-1116A or 13-1116B NMRA should be given in every action based upon a lack of informed consent. The instruction appropriate to the case should be selected.</w:t>
      </w:r>
    </w:p>
    <w:p w14:paraId="0F42150C" w14:textId="2C4A79AB" w:rsidR="00550191" w:rsidRPr="00550191" w:rsidRDefault="00550191" w:rsidP="00550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50191">
        <w:rPr>
          <w:rFonts w:ascii="Arial" w:hAnsi="Arial" w:cs="Arial"/>
          <w:kern w:val="0"/>
          <w:sz w:val="24"/>
          <w:szCs w:val="24"/>
        </w:rPr>
        <w:tab/>
        <w:t>UJI 13-1116A and 13-1116B NMRA do not replace UJI 13-308 NMRA. In many cases, the general instruction on causation will still be appropriate.</w:t>
      </w:r>
    </w:p>
    <w:p w14:paraId="7F902CAD" w14:textId="752E2926" w:rsidR="00033617" w:rsidRPr="00550191" w:rsidRDefault="00550191" w:rsidP="00550191">
      <w:pPr>
        <w:rPr>
          <w:rFonts w:ascii="Arial" w:hAnsi="Arial" w:cs="Arial"/>
        </w:rPr>
      </w:pPr>
      <w:r w:rsidRPr="00550191">
        <w:rPr>
          <w:rFonts w:ascii="Arial" w:hAnsi="Arial" w:cs="Arial"/>
          <w:kern w:val="0"/>
          <w:sz w:val="24"/>
          <w:szCs w:val="24"/>
        </w:rPr>
        <w:t>[As amended, effective November 1, 1991; August 15, 1997; February 24, 1998; March 1, 2005.]</w:t>
      </w:r>
    </w:p>
    <w:sectPr w:rsidR="00033617" w:rsidRPr="00550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91"/>
    <w:rsid w:val="00033617"/>
    <w:rsid w:val="0055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E4F9B"/>
  <w15:chartTrackingRefBased/>
  <w15:docId w15:val="{F154FF27-73D8-46E3-A252-B3211E79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72D454-FEC8-4575-B74A-12CE41191DBC}"/>
</file>

<file path=customXml/itemProps2.xml><?xml version="1.0" encoding="utf-8"?>
<ds:datastoreItem xmlns:ds="http://schemas.openxmlformats.org/officeDocument/2006/customXml" ds:itemID="{9D960BB9-34D0-4A95-ADCD-2F3735C9D091}"/>
</file>

<file path=customXml/itemProps3.xml><?xml version="1.0" encoding="utf-8"?>
<ds:datastoreItem xmlns:ds="http://schemas.openxmlformats.org/officeDocument/2006/customXml" ds:itemID="{71731264-3F3B-47B0-A700-9CC464875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2023-11-13T21:37:00Z</dcterms:created>
  <dcterms:modified xsi:type="dcterms:W3CDTF">2023-11-13T21:41:00Z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