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6E5F" w14:textId="77777777" w:rsidR="006807C5" w:rsidRPr="00C46323" w:rsidRDefault="003270BA" w:rsidP="00C46323">
      <w:pPr>
        <w:pStyle w:val="Heading5"/>
      </w:pPr>
      <w:r w:rsidRPr="00C46323">
        <w:t>13-503</w:t>
      </w:r>
      <w:r w:rsidR="00AE66E6" w:rsidRPr="00C46323">
        <w:t xml:space="preserve">. </w:t>
      </w:r>
      <w:r w:rsidRPr="00C46323">
        <w:t>Livestock on fenced highway.</w:t>
      </w:r>
    </w:p>
    <w:p w14:paraId="32306E60" w14:textId="77777777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>There was in force in this state, at the time of the occurrence in question, a certain statute which provided:</w:t>
      </w:r>
    </w:p>
    <w:p w14:paraId="32306E61" w14:textId="081E39C2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>“It is unlawful for any person negligently to permit livestock to wander or graze upon any fenced highway at any time.”</w:t>
      </w:r>
    </w:p>
    <w:p w14:paraId="32306E62" w14:textId="77777777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>If you find from the evidence that the defendant violated this statute in the specific manner claimed by the plaintiff, then you are instructed that such conduct constituted negligence as a matter of law.</w:t>
      </w:r>
    </w:p>
    <w:p w14:paraId="32306E63" w14:textId="77777777" w:rsidR="003270BA" w:rsidRPr="00C46323" w:rsidRDefault="003270BA" w:rsidP="00C46323">
      <w:pPr>
        <w:pStyle w:val="formc"/>
        <w:rPr>
          <w:rStyle w:val="rules"/>
        </w:rPr>
      </w:pPr>
      <w:r w:rsidRPr="00C46323">
        <w:rPr>
          <w:rStyle w:val="rules"/>
        </w:rPr>
        <w:t>USE NOTES</w:t>
      </w:r>
    </w:p>
    <w:p w14:paraId="32306E64" w14:textId="6434B8BA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>This instruction is a quotation from NMSA 1978, Section 66-7-363(B) (1953), and is the instruction which will be used in most cases involving livestock wandering or grazing on a fenced highway.</w:t>
      </w:r>
    </w:p>
    <w:p w14:paraId="32306E65" w14:textId="77777777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 xml:space="preserve">As with other contentions of negligent conduct, it is necessary that the plaintiff prove specific negligence and that the jury </w:t>
      </w:r>
      <w:proofErr w:type="gramStart"/>
      <w:r w:rsidRPr="00C46323">
        <w:rPr>
          <w:rStyle w:val="rules"/>
        </w:rPr>
        <w:t>not be</w:t>
      </w:r>
      <w:proofErr w:type="gramEnd"/>
      <w:r w:rsidRPr="00C46323">
        <w:rPr>
          <w:rStyle w:val="rules"/>
        </w:rPr>
        <w:t xml:space="preserve"> cast adrift with such an indefinite term.</w:t>
      </w:r>
    </w:p>
    <w:p w14:paraId="32306E66" w14:textId="77777777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>The usual tort instructions explaining negligence, ordinary care</w:t>
      </w:r>
      <w:r w:rsidR="00473A73" w:rsidRPr="00C46323">
        <w:rPr>
          <w:rStyle w:val="rules"/>
        </w:rPr>
        <w:t>,</w:t>
      </w:r>
      <w:r w:rsidRPr="00C46323">
        <w:rPr>
          <w:rStyle w:val="rules"/>
        </w:rPr>
        <w:t xml:space="preserve"> and duty should all be given with this instruction.</w:t>
      </w:r>
    </w:p>
    <w:p w14:paraId="32306E67" w14:textId="1EA5D442" w:rsidR="003270BA" w:rsidRPr="00C46323" w:rsidRDefault="003270BA" w:rsidP="00C46323">
      <w:pPr>
        <w:pStyle w:val="text"/>
        <w:rPr>
          <w:rStyle w:val="rules"/>
        </w:rPr>
      </w:pPr>
      <w:r w:rsidRPr="00C46323">
        <w:rPr>
          <w:rStyle w:val="rules"/>
        </w:rPr>
        <w:t xml:space="preserve">This instruction will need to be modified if any other pertinent provision of the statute dealing with animals on the highway is involved. </w:t>
      </w:r>
      <w:proofErr w:type="gramStart"/>
      <w:r w:rsidRPr="00C46323">
        <w:rPr>
          <w:rStyle w:val="rules"/>
        </w:rPr>
        <w:t>It should be pointed out that the</w:t>
      </w:r>
      <w:proofErr w:type="gramEnd"/>
      <w:r w:rsidRPr="00C46323">
        <w:rPr>
          <w:rStyle w:val="rules"/>
        </w:rPr>
        <w:t xml:space="preserve"> </w:t>
      </w:r>
      <w:r w:rsidR="00473A73" w:rsidRPr="00C46323">
        <w:rPr>
          <w:rStyle w:val="rules"/>
        </w:rPr>
        <w:t>Legislature</w:t>
      </w:r>
      <w:r w:rsidRPr="00C46323">
        <w:rPr>
          <w:rStyle w:val="rules"/>
        </w:rPr>
        <w:t xml:space="preserve"> has not used the requirement of negligence with reference to Subsection A of the statute, but has with reference to Subsection C, and, therefore, care </w:t>
      </w:r>
      <w:proofErr w:type="gramStart"/>
      <w:r w:rsidRPr="00C46323">
        <w:rPr>
          <w:rStyle w:val="rules"/>
        </w:rPr>
        <w:t>need</w:t>
      </w:r>
      <w:proofErr w:type="gramEnd"/>
      <w:r w:rsidRPr="00C46323">
        <w:rPr>
          <w:rStyle w:val="rules"/>
        </w:rPr>
        <w:t xml:space="preserve"> </w:t>
      </w:r>
      <w:proofErr w:type="gramStart"/>
      <w:r w:rsidRPr="00C46323">
        <w:rPr>
          <w:rStyle w:val="rules"/>
        </w:rPr>
        <w:t>be</w:t>
      </w:r>
      <w:proofErr w:type="gramEnd"/>
      <w:r w:rsidRPr="00C46323">
        <w:rPr>
          <w:rStyle w:val="rules"/>
        </w:rPr>
        <w:t xml:space="preserve"> exercised in drafting the instruction applicable to the particular facts and circumstances of the case in question.</w:t>
      </w:r>
    </w:p>
    <w:p w14:paraId="32306E71" w14:textId="12934985" w:rsidR="00CA5086" w:rsidRPr="00C46323" w:rsidRDefault="00CA5086" w:rsidP="008F3EC9">
      <w:pPr>
        <w:pStyle w:val="history"/>
      </w:pPr>
      <w:r w:rsidRPr="00C46323">
        <w:rPr>
          <w:rStyle w:val="ruleshistory"/>
        </w:rPr>
        <w:t>[As amended by Supreme Court Order No. S-1-RCR-2025-00126, effective for all cases pending or filed on or after December 31, 2025.]</w:t>
      </w:r>
    </w:p>
    <w:sectPr w:rsidR="00CA5086" w:rsidRPr="00C46323" w:rsidSect="00725D38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6E74" w14:textId="77777777" w:rsidR="003270BA" w:rsidRDefault="003270BA" w:rsidP="00AE66E6">
      <w:r>
        <w:separator/>
      </w:r>
    </w:p>
  </w:endnote>
  <w:endnote w:type="continuationSeparator" w:id="0">
    <w:p w14:paraId="32306E75" w14:textId="77777777" w:rsidR="003270BA" w:rsidRDefault="003270BA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6E72" w14:textId="77777777" w:rsidR="003270BA" w:rsidRDefault="003270BA" w:rsidP="00AE66E6">
      <w:r>
        <w:separator/>
      </w:r>
    </w:p>
  </w:footnote>
  <w:footnote w:type="continuationSeparator" w:id="0">
    <w:p w14:paraId="32306E73" w14:textId="77777777" w:rsidR="003270BA" w:rsidRDefault="003270BA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5349085">
    <w:abstractNumId w:val="0"/>
  </w:num>
  <w:num w:numId="2" w16cid:durableId="1844853718">
    <w:abstractNumId w:val="4"/>
  </w:num>
  <w:num w:numId="3" w16cid:durableId="968820668">
    <w:abstractNumId w:val="1"/>
  </w:num>
  <w:num w:numId="4" w16cid:durableId="831219489">
    <w:abstractNumId w:val="3"/>
  </w:num>
  <w:num w:numId="5" w16cid:durableId="47841845">
    <w:abstractNumId w:val="5"/>
  </w:num>
  <w:num w:numId="6" w16cid:durableId="291978610">
    <w:abstractNumId w:val="6"/>
  </w:num>
  <w:num w:numId="7" w16cid:durableId="1685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BA"/>
    <w:rsid w:val="00002190"/>
    <w:rsid w:val="0006105D"/>
    <w:rsid w:val="00074662"/>
    <w:rsid w:val="000941C2"/>
    <w:rsid w:val="001439A2"/>
    <w:rsid w:val="0017569D"/>
    <w:rsid w:val="001B683C"/>
    <w:rsid w:val="001E2331"/>
    <w:rsid w:val="00216E9F"/>
    <w:rsid w:val="0021715F"/>
    <w:rsid w:val="00312840"/>
    <w:rsid w:val="003270BA"/>
    <w:rsid w:val="0040014D"/>
    <w:rsid w:val="00473A73"/>
    <w:rsid w:val="004C739D"/>
    <w:rsid w:val="005145D5"/>
    <w:rsid w:val="00593650"/>
    <w:rsid w:val="005B011D"/>
    <w:rsid w:val="005E79E3"/>
    <w:rsid w:val="005F57F8"/>
    <w:rsid w:val="006807C5"/>
    <w:rsid w:val="00682812"/>
    <w:rsid w:val="006A15A6"/>
    <w:rsid w:val="006C2BD8"/>
    <w:rsid w:val="00704F79"/>
    <w:rsid w:val="00725D38"/>
    <w:rsid w:val="00790F39"/>
    <w:rsid w:val="00807AC3"/>
    <w:rsid w:val="008165DB"/>
    <w:rsid w:val="00840636"/>
    <w:rsid w:val="00842C8D"/>
    <w:rsid w:val="0086295B"/>
    <w:rsid w:val="008F3EC9"/>
    <w:rsid w:val="009010E9"/>
    <w:rsid w:val="00973DC2"/>
    <w:rsid w:val="00A3117F"/>
    <w:rsid w:val="00A42CF9"/>
    <w:rsid w:val="00AB4F13"/>
    <w:rsid w:val="00AD18C6"/>
    <w:rsid w:val="00AE0EDB"/>
    <w:rsid w:val="00AE66E6"/>
    <w:rsid w:val="00B52187"/>
    <w:rsid w:val="00BD6638"/>
    <w:rsid w:val="00BE4C8E"/>
    <w:rsid w:val="00C10E82"/>
    <w:rsid w:val="00C460DB"/>
    <w:rsid w:val="00C46323"/>
    <w:rsid w:val="00C52326"/>
    <w:rsid w:val="00C938DF"/>
    <w:rsid w:val="00CA5086"/>
    <w:rsid w:val="00CD2769"/>
    <w:rsid w:val="00CD6A6A"/>
    <w:rsid w:val="00CE163B"/>
    <w:rsid w:val="00D25CE7"/>
    <w:rsid w:val="00D37FEC"/>
    <w:rsid w:val="00DC6BB0"/>
    <w:rsid w:val="00E443F8"/>
    <w:rsid w:val="00E670A0"/>
    <w:rsid w:val="00E85A9D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306E5F"/>
  <w15:docId w15:val="{DFBB7070-E1C6-4AF0-A898-56573707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23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46323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C463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6323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46323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C46323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C46323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C46323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C46323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C46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323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327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0BA"/>
    <w:rPr>
      <w:color w:val="605E5C"/>
      <w:shd w:val="clear" w:color="auto" w:fill="E1DFDD"/>
    </w:rPr>
  </w:style>
  <w:style w:type="paragraph" w:customStyle="1" w:styleId="1">
    <w:name w:val="(1)"/>
    <w:basedOn w:val="ListParagraph"/>
    <w:link w:val="1Char"/>
    <w:qFormat/>
    <w:rsid w:val="00C46323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C46323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C46323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C46323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C46323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C46323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C46323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C46323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C46323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C46323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C46323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C46323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C46323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C4632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4632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6323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46323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C46323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C4632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46323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6323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C46323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C46323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C46323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C46323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C46323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C46323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C46323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C46323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C46323"/>
  </w:style>
  <w:style w:type="character" w:customStyle="1" w:styleId="rulesannotations">
    <w:name w:val="rules_annotations"/>
    <w:basedOn w:val="DefaultParagraphFont"/>
    <w:rsid w:val="00C46323"/>
  </w:style>
  <w:style w:type="character" w:customStyle="1" w:styleId="ruleshistory">
    <w:name w:val="rules_history"/>
    <w:basedOn w:val="DefaultParagraphFont"/>
    <w:rsid w:val="00C46323"/>
  </w:style>
  <w:style w:type="paragraph" w:customStyle="1" w:styleId="sectextc">
    <w:name w:val="sectextc"/>
    <w:basedOn w:val="Normal"/>
    <w:rsid w:val="00C46323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C46323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C46323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C46323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C46323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vfw\Desktop\Templates\UJI-CIVIL%20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e4a0faffafd6858301114e0441cbc7de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2fce9bb8017d6ab8b31ea477531dacf6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22D30-E4A5-4C02-A935-5785121AF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B4E29-7D6C-49CC-A32E-D87B5CE7BF67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9FB96008-7130-486E-AD0A-9B0F822A4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UJI-CIVIL Rule Template.dotx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Cynthia SinghDhillon</cp:lastModifiedBy>
  <cp:revision>3</cp:revision>
  <cp:lastPrinted>2025-08-14T14:13:00Z</cp:lastPrinted>
  <dcterms:created xsi:type="dcterms:W3CDTF">2025-12-10T21:26:00Z</dcterms:created>
  <dcterms:modified xsi:type="dcterms:W3CDTF">2025-12-10T21:26:00Z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