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010B" w14:textId="77777777" w:rsidR="00EE076F" w:rsidRPr="00EE076F" w:rsidRDefault="00EE076F" w:rsidP="00EE0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E076F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EE076F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EE076F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EE076F">
        <w:rPr>
          <w:rFonts w:ascii="Arial" w:hAnsi="Arial" w:cs="Arial"/>
          <w:b/>
          <w:bCs/>
          <w:kern w:val="0"/>
          <w:sz w:val="24"/>
          <w:szCs w:val="24"/>
        </w:rPr>
        <w:t xml:space="preserve">13-306. Independent intervening cause. </w:t>
      </w:r>
    </w:p>
    <w:p w14:paraId="672AC083" w14:textId="77777777" w:rsidR="00EE076F" w:rsidRPr="00EE076F" w:rsidRDefault="00EE076F" w:rsidP="00EE0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E076F">
        <w:rPr>
          <w:rFonts w:ascii="Arial" w:hAnsi="Arial" w:cs="Arial"/>
          <w:kern w:val="0"/>
          <w:sz w:val="24"/>
          <w:szCs w:val="24"/>
        </w:rPr>
        <w:tab/>
        <w:t xml:space="preserve">An independent intervening cause interrupts and turns aside a course of events and produces that which was not foreseeable as a result of an earlier act or omission. </w:t>
      </w:r>
    </w:p>
    <w:p w14:paraId="6E28404C" w14:textId="77777777" w:rsidR="00EE076F" w:rsidRPr="00EE076F" w:rsidRDefault="00EE076F" w:rsidP="00EE0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37943B" w14:textId="77777777" w:rsidR="00EE076F" w:rsidRPr="00EE076F" w:rsidRDefault="00EE076F" w:rsidP="00EE0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E076F">
        <w:rPr>
          <w:rFonts w:ascii="Arial" w:hAnsi="Arial" w:cs="Arial"/>
          <w:kern w:val="0"/>
          <w:sz w:val="24"/>
          <w:szCs w:val="24"/>
        </w:rPr>
        <w:t>USE NOTE</w:t>
      </w:r>
    </w:p>
    <w:p w14:paraId="043E4F37" w14:textId="07ACCCE9" w:rsidR="00EE076F" w:rsidRPr="00EE076F" w:rsidRDefault="00EE076F" w:rsidP="00EE0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E076F">
        <w:rPr>
          <w:rFonts w:ascii="Arial" w:hAnsi="Arial" w:cs="Arial"/>
          <w:kern w:val="0"/>
          <w:sz w:val="24"/>
          <w:szCs w:val="24"/>
        </w:rPr>
        <w:tab/>
        <w:t xml:space="preserve">This instruction is to be used when the evidence presents an issue with regard to an independent intervening cause. This instruction deals with the issue of causation and is a companion instruction to UJI 13-305 NMRA. </w:t>
      </w:r>
    </w:p>
    <w:p w14:paraId="6E61E864" w14:textId="079ABA37" w:rsidR="00D16542" w:rsidRPr="00EE076F" w:rsidRDefault="00EE076F" w:rsidP="00EE076F">
      <w:pPr>
        <w:rPr>
          <w:rFonts w:ascii="Arial" w:hAnsi="Arial" w:cs="Arial"/>
        </w:rPr>
      </w:pPr>
      <w:r w:rsidRPr="00EE076F">
        <w:rPr>
          <w:rFonts w:ascii="Arial" w:hAnsi="Arial" w:cs="Arial"/>
          <w:kern w:val="0"/>
          <w:sz w:val="24"/>
          <w:szCs w:val="24"/>
        </w:rPr>
        <w:t xml:space="preserve">[As amended, effective January 1, 1987; as amended by Supreme Court Order No. 08-8300-061, effective February 2, 2009.] </w:t>
      </w:r>
    </w:p>
    <w:sectPr w:rsidR="00D16542" w:rsidRPr="00EE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6F"/>
    <w:rsid w:val="00D16542"/>
    <w:rsid w:val="00D33776"/>
    <w:rsid w:val="00E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783A"/>
  <w15:chartTrackingRefBased/>
  <w15:docId w15:val="{45557288-86B4-4791-8CD5-CD04B73C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D451CA-AC9B-4F5C-88B0-0B55672FE4B1}"/>
</file>

<file path=customXml/itemProps2.xml><?xml version="1.0" encoding="utf-8"?>
<ds:datastoreItem xmlns:ds="http://schemas.openxmlformats.org/officeDocument/2006/customXml" ds:itemID="{63987175-9B67-4392-B6A7-F8AA6F974221}"/>
</file>

<file path=customXml/itemProps3.xml><?xml version="1.0" encoding="utf-8"?>
<ds:datastoreItem xmlns:ds="http://schemas.openxmlformats.org/officeDocument/2006/customXml" ds:itemID="{EC423CFA-7B5F-4028-987D-660A4264D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2023-11-02T15:13:00Z</dcterms:created>
  <dcterms:modified xsi:type="dcterms:W3CDTF">2023-11-02T15:14:00Z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