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2F28" w14:textId="77777777" w:rsidR="00B5708A" w:rsidRPr="00EE3D70" w:rsidRDefault="00B5708A" w:rsidP="00EE3D70">
      <w:pPr>
        <w:spacing w:before="100" w:beforeAutospacing="1" w:after="100" w:afterAutospacing="1"/>
        <w:rPr>
          <w:rFonts w:ascii="Arial" w:hAnsi="Arial" w:cs="Arial"/>
        </w:rPr>
      </w:pPr>
      <w:r w:rsidRPr="00EE3D70">
        <w:rPr>
          <w:rFonts w:ascii="Arial" w:hAnsi="Arial" w:cs="Arial"/>
          <w:b/>
          <w:bCs/>
        </w:rPr>
        <w:t>13</w:t>
      </w:r>
      <w:r w:rsidR="00EB7710" w:rsidRPr="00EE3D70">
        <w:rPr>
          <w:rFonts w:ascii="Arial" w:hAnsi="Arial" w:cs="Arial"/>
          <w:b/>
          <w:bCs/>
        </w:rPr>
        <w:t>-</w:t>
      </w:r>
      <w:r w:rsidRPr="00EE3D70">
        <w:rPr>
          <w:rFonts w:ascii="Arial" w:hAnsi="Arial" w:cs="Arial"/>
          <w:b/>
          <w:bCs/>
        </w:rPr>
        <w:t>2413.  Legal malpractice; litigation not proof of malpractice.</w:t>
      </w:r>
    </w:p>
    <w:p w14:paraId="46BEC169" w14:textId="77777777" w:rsidR="00B5708A" w:rsidRPr="00EE3D70" w:rsidRDefault="00B5708A">
      <w:pPr>
        <w:ind w:firstLine="720"/>
        <w:rPr>
          <w:rFonts w:ascii="Arial" w:hAnsi="Arial" w:cs="Arial"/>
        </w:rPr>
      </w:pPr>
      <w:r w:rsidRPr="00EE3D70">
        <w:rPr>
          <w:rFonts w:ascii="Arial" w:hAnsi="Arial" w:cs="Arial"/>
        </w:rPr>
        <w:t>The fact that a lawyer</w:t>
      </w:r>
      <w:r w:rsidR="00323752" w:rsidRPr="00EE3D70">
        <w:rPr>
          <w:rFonts w:ascii="Arial" w:hAnsi="Arial" w:cs="Arial"/>
        </w:rPr>
        <w:t>’</w:t>
      </w:r>
      <w:r w:rsidRPr="00EE3D70">
        <w:rPr>
          <w:rFonts w:ascii="Arial" w:hAnsi="Arial" w:cs="Arial"/>
        </w:rPr>
        <w:t>s recommended course of action results in litigation is not in and of itself proof that the lawyer breached a duty to the client.</w:t>
      </w:r>
    </w:p>
    <w:p w14:paraId="1F0EB59C" w14:textId="77777777" w:rsidR="00B5708A" w:rsidRPr="00EE3D70" w:rsidRDefault="00B5708A">
      <w:pPr>
        <w:rPr>
          <w:rFonts w:ascii="Arial" w:hAnsi="Arial" w:cs="Arial"/>
        </w:rPr>
      </w:pPr>
    </w:p>
    <w:p w14:paraId="1259DAB2" w14:textId="3BC1352E" w:rsidR="00B5708A" w:rsidRPr="00EE3D70" w:rsidRDefault="00B5708A" w:rsidP="00EE3D70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EE3D70">
        <w:rPr>
          <w:rFonts w:ascii="Arial" w:hAnsi="Arial" w:cs="Arial"/>
        </w:rPr>
        <w:t>USE NOTE</w:t>
      </w:r>
      <w:r w:rsidR="00EE3D70">
        <w:rPr>
          <w:rFonts w:ascii="Arial" w:hAnsi="Arial" w:cs="Arial"/>
        </w:rPr>
        <w:t>S</w:t>
      </w:r>
    </w:p>
    <w:p w14:paraId="1C279AE9" w14:textId="77777777" w:rsidR="00B5708A" w:rsidRPr="00EE3D70" w:rsidRDefault="00B5708A">
      <w:pPr>
        <w:ind w:firstLine="720"/>
        <w:rPr>
          <w:rFonts w:ascii="Arial" w:hAnsi="Arial" w:cs="Arial"/>
        </w:rPr>
      </w:pPr>
      <w:r w:rsidRPr="00EE3D70">
        <w:rPr>
          <w:rFonts w:ascii="Arial" w:hAnsi="Arial" w:cs="Arial"/>
        </w:rPr>
        <w:t>This is a proper instruction in a legal malpractice case where it is alleged that a lawyer</w:t>
      </w:r>
      <w:r w:rsidR="00323752" w:rsidRPr="00EE3D70">
        <w:rPr>
          <w:rFonts w:ascii="Arial" w:hAnsi="Arial" w:cs="Arial"/>
        </w:rPr>
        <w:t>’</w:t>
      </w:r>
      <w:r w:rsidRPr="00EE3D70">
        <w:rPr>
          <w:rFonts w:ascii="Arial" w:hAnsi="Arial" w:cs="Arial"/>
        </w:rPr>
        <w:t>s actions resulted in litigation.</w:t>
      </w:r>
    </w:p>
    <w:p w14:paraId="366E919F" w14:textId="77777777" w:rsidR="00B5708A" w:rsidRPr="00EE3D70" w:rsidRDefault="00B5708A">
      <w:pPr>
        <w:rPr>
          <w:rFonts w:ascii="Arial" w:hAnsi="Arial" w:cs="Arial"/>
        </w:rPr>
      </w:pPr>
      <w:r w:rsidRPr="00EE3D70">
        <w:rPr>
          <w:rFonts w:ascii="Arial" w:hAnsi="Arial" w:cs="Arial"/>
        </w:rPr>
        <w:t>[Adopted by Supreme Court Order No. 17-8300-013, effective for all cases pending or filed on or after December 31, 2017.]</w:t>
      </w:r>
    </w:p>
    <w:sectPr w:rsidR="00B5708A" w:rsidRPr="00EE3D70" w:rsidSect="00B5708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4E5E" w14:textId="77777777" w:rsidR="00323752" w:rsidRDefault="00323752">
      <w:r>
        <w:separator/>
      </w:r>
    </w:p>
  </w:endnote>
  <w:endnote w:type="continuationSeparator" w:id="0">
    <w:p w14:paraId="363963C0" w14:textId="77777777" w:rsidR="00323752" w:rsidRDefault="0032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DE06" w14:textId="77777777" w:rsidR="00323752" w:rsidRDefault="00323752">
      <w:r>
        <w:separator/>
      </w:r>
    </w:p>
  </w:footnote>
  <w:footnote w:type="continuationSeparator" w:id="0">
    <w:p w14:paraId="0C854464" w14:textId="77777777" w:rsidR="00323752" w:rsidRDefault="00323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08A"/>
    <w:rsid w:val="00323752"/>
    <w:rsid w:val="00825A57"/>
    <w:rsid w:val="00922D45"/>
    <w:rsid w:val="00B5708A"/>
    <w:rsid w:val="00EB7710"/>
    <w:rsid w:val="00E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6CD655D"/>
  <w15:chartTrackingRefBased/>
  <w15:docId w15:val="{D6671914-2036-4CD7-9CC1-BCA58C17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323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75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76EA08-7441-435D-8EAA-74699431D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A89B0-C0F8-4579-AD80-8828639D4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3F899-0826-45B1-BF73-BB01821ED4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2023-12-01T21:16:00Z</dcterms:created>
  <dcterms:modified xsi:type="dcterms:W3CDTF">2023-12-01T21:17:00Z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