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17B6" w14:textId="31955D90" w:rsidR="00CB54AF" w:rsidRPr="0039650E" w:rsidRDefault="00CB54AF" w:rsidP="00EA6B6A">
      <w:pPr>
        <w:spacing w:before="100" w:beforeAutospacing="1"/>
        <w:rPr>
          <w:rFonts w:ascii="Arial" w:hAnsi="Arial" w:cs="Arial"/>
          <w:sz w:val="24"/>
          <w:szCs w:val="24"/>
        </w:rPr>
      </w:pPr>
      <w:r w:rsidRPr="0039650E">
        <w:rPr>
          <w:rFonts w:ascii="Arial" w:hAnsi="Arial" w:cs="Arial"/>
          <w:sz w:val="24"/>
          <w:szCs w:val="24"/>
          <w:lang w:val="en-CA"/>
        </w:rPr>
        <w:fldChar w:fldCharType="begin"/>
      </w:r>
      <w:r w:rsidRPr="0039650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39650E">
        <w:rPr>
          <w:rFonts w:ascii="Arial" w:hAnsi="Arial" w:cs="Arial"/>
          <w:sz w:val="24"/>
          <w:szCs w:val="24"/>
          <w:lang w:val="en-CA"/>
        </w:rPr>
        <w:fldChar w:fldCharType="end"/>
      </w:r>
      <w:r w:rsidRPr="0039650E">
        <w:rPr>
          <w:rFonts w:ascii="Arial" w:hAnsi="Arial" w:cs="Arial"/>
          <w:b/>
          <w:bCs/>
          <w:sz w:val="24"/>
          <w:szCs w:val="24"/>
        </w:rPr>
        <w:t>14-2812. Conspiracy; multiple defendants; each defendant entitled to individual consideration.</w:t>
      </w:r>
      <w:r w:rsidRPr="0039650E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4C3768F9" w14:textId="75AE1526" w:rsidR="00CB54AF" w:rsidRPr="0039650E" w:rsidRDefault="00CB54AF">
      <w:pPr>
        <w:rPr>
          <w:rFonts w:ascii="Arial" w:hAnsi="Arial" w:cs="Arial"/>
          <w:sz w:val="24"/>
          <w:szCs w:val="24"/>
        </w:rPr>
      </w:pPr>
      <w:r w:rsidRPr="0039650E">
        <w:rPr>
          <w:rFonts w:ascii="Arial" w:hAnsi="Arial" w:cs="Arial"/>
          <w:sz w:val="24"/>
          <w:szCs w:val="24"/>
        </w:rPr>
        <w:tab/>
        <w:t>In this case, you must consider separately whether each of the defendants is guilty or not guilty of conspiracy [and the other charge]</w:t>
      </w:r>
      <w:r w:rsidRPr="0039650E">
        <w:rPr>
          <w:rFonts w:ascii="Arial" w:hAnsi="Arial" w:cs="Arial"/>
          <w:sz w:val="24"/>
          <w:szCs w:val="24"/>
          <w:vertAlign w:val="superscript"/>
        </w:rPr>
        <w:t>2</w:t>
      </w:r>
      <w:r w:rsidRPr="0039650E">
        <w:rPr>
          <w:rFonts w:ascii="Arial" w:hAnsi="Arial" w:cs="Arial"/>
          <w:sz w:val="24"/>
          <w:szCs w:val="24"/>
        </w:rPr>
        <w:t xml:space="preserve"> [and each of the other charges]. Even if you cannot agree upon a verdict as to one or more of the defendants [or charges]</w:t>
      </w:r>
      <w:r w:rsidRPr="0039650E">
        <w:rPr>
          <w:rFonts w:ascii="Arial" w:hAnsi="Arial" w:cs="Arial"/>
          <w:sz w:val="24"/>
          <w:szCs w:val="24"/>
          <w:vertAlign w:val="superscript"/>
        </w:rPr>
        <w:t>3</w:t>
      </w:r>
      <w:r w:rsidRPr="0039650E">
        <w:rPr>
          <w:rFonts w:ascii="Arial" w:hAnsi="Arial" w:cs="Arial"/>
          <w:sz w:val="24"/>
          <w:szCs w:val="24"/>
        </w:rPr>
        <w:t xml:space="preserve">, you must return the verdict or verdicts upon which you agree. </w:t>
      </w:r>
    </w:p>
    <w:p w14:paraId="04C2F9B8" w14:textId="77777777" w:rsidR="00CB54AF" w:rsidRPr="0039650E" w:rsidRDefault="00CB54AF">
      <w:pPr>
        <w:rPr>
          <w:rFonts w:ascii="Arial" w:hAnsi="Arial" w:cs="Arial"/>
          <w:sz w:val="24"/>
          <w:szCs w:val="24"/>
        </w:rPr>
      </w:pPr>
    </w:p>
    <w:p w14:paraId="46F2B27A" w14:textId="297A1FEB" w:rsidR="00CB54AF" w:rsidRPr="0039650E" w:rsidRDefault="00CB54AF" w:rsidP="0039650E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39650E">
        <w:rPr>
          <w:rFonts w:ascii="Arial" w:hAnsi="Arial" w:cs="Arial"/>
          <w:sz w:val="24"/>
          <w:szCs w:val="24"/>
        </w:rPr>
        <w:t>USE NOTE</w:t>
      </w:r>
      <w:r w:rsidR="0039650E">
        <w:rPr>
          <w:rFonts w:ascii="Arial" w:hAnsi="Arial" w:cs="Arial"/>
          <w:sz w:val="24"/>
          <w:szCs w:val="24"/>
        </w:rPr>
        <w:t>S</w:t>
      </w:r>
    </w:p>
    <w:p w14:paraId="67B5D9B8" w14:textId="6D2A39D2" w:rsidR="00CB54AF" w:rsidRPr="0039650E" w:rsidRDefault="00CB54AF">
      <w:pPr>
        <w:rPr>
          <w:rFonts w:ascii="Arial" w:hAnsi="Arial" w:cs="Arial"/>
          <w:sz w:val="24"/>
          <w:szCs w:val="24"/>
        </w:rPr>
      </w:pPr>
      <w:r w:rsidRPr="0039650E">
        <w:rPr>
          <w:rFonts w:ascii="Arial" w:hAnsi="Arial" w:cs="Arial"/>
          <w:sz w:val="24"/>
          <w:szCs w:val="24"/>
        </w:rPr>
        <w:tab/>
        <w:t>1.</w:t>
      </w:r>
      <w:r w:rsidR="00EA6B6A">
        <w:rPr>
          <w:rFonts w:ascii="Arial" w:hAnsi="Arial" w:cs="Arial"/>
          <w:sz w:val="24"/>
          <w:szCs w:val="24"/>
        </w:rPr>
        <w:tab/>
      </w:r>
      <w:r w:rsidRPr="0039650E">
        <w:rPr>
          <w:rFonts w:ascii="Arial" w:hAnsi="Arial" w:cs="Arial"/>
          <w:sz w:val="24"/>
          <w:szCs w:val="24"/>
        </w:rPr>
        <w:t xml:space="preserve">This instruction is appropriate for a multiple-defendant trial in which a charge of conspiracy is submitted to the jury. UJI 14-6003 should not be used in such cases. </w:t>
      </w:r>
    </w:p>
    <w:p w14:paraId="466E5B29" w14:textId="78E39F87" w:rsidR="00CB54AF" w:rsidRPr="0039650E" w:rsidRDefault="00CB54AF">
      <w:pPr>
        <w:rPr>
          <w:rFonts w:ascii="Arial" w:hAnsi="Arial" w:cs="Arial"/>
          <w:sz w:val="24"/>
          <w:szCs w:val="24"/>
        </w:rPr>
      </w:pPr>
      <w:r w:rsidRPr="0039650E">
        <w:rPr>
          <w:rFonts w:ascii="Arial" w:hAnsi="Arial" w:cs="Arial"/>
          <w:sz w:val="24"/>
          <w:szCs w:val="24"/>
        </w:rPr>
        <w:tab/>
        <w:t>2.</w:t>
      </w:r>
      <w:r w:rsidR="00EA6B6A">
        <w:rPr>
          <w:rFonts w:ascii="Arial" w:hAnsi="Arial" w:cs="Arial"/>
          <w:sz w:val="24"/>
          <w:szCs w:val="24"/>
        </w:rPr>
        <w:tab/>
      </w:r>
      <w:r w:rsidRPr="0039650E">
        <w:rPr>
          <w:rFonts w:ascii="Arial" w:hAnsi="Arial" w:cs="Arial"/>
          <w:sz w:val="24"/>
          <w:szCs w:val="24"/>
        </w:rPr>
        <w:t xml:space="preserve">Use one or the other or neither of these bracketed phrases, as applicable. </w:t>
      </w:r>
    </w:p>
    <w:p w14:paraId="12ABFC47" w14:textId="79AFCF1D" w:rsidR="00CB54AF" w:rsidRPr="0039650E" w:rsidRDefault="00CB54AF">
      <w:pPr>
        <w:rPr>
          <w:rFonts w:ascii="Arial" w:hAnsi="Arial" w:cs="Arial"/>
        </w:rPr>
      </w:pPr>
      <w:r w:rsidRPr="0039650E">
        <w:rPr>
          <w:rFonts w:ascii="Arial" w:hAnsi="Arial" w:cs="Arial"/>
          <w:sz w:val="24"/>
          <w:szCs w:val="24"/>
        </w:rPr>
        <w:tab/>
        <w:t>3.</w:t>
      </w:r>
      <w:r w:rsidR="00EA6B6A">
        <w:rPr>
          <w:rFonts w:ascii="Arial" w:hAnsi="Arial" w:cs="Arial"/>
          <w:sz w:val="24"/>
          <w:szCs w:val="24"/>
        </w:rPr>
        <w:tab/>
      </w:r>
      <w:r w:rsidRPr="0039650E">
        <w:rPr>
          <w:rFonts w:ascii="Arial" w:hAnsi="Arial" w:cs="Arial"/>
          <w:sz w:val="24"/>
          <w:szCs w:val="24"/>
        </w:rPr>
        <w:t>Use if applicable.</w:t>
      </w:r>
    </w:p>
    <w:sectPr w:rsidR="00CB54AF" w:rsidRPr="0039650E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0E3"/>
    <w:rsid w:val="0005420B"/>
    <w:rsid w:val="0039650E"/>
    <w:rsid w:val="00CB54AF"/>
    <w:rsid w:val="00D220E3"/>
    <w:rsid w:val="00E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36107"/>
  <w14:defaultImageDpi w14:val="0"/>
  <w15:chartTrackingRefBased/>
  <w15:docId w15:val="{AA6FAF92-B6E6-449F-8330-AEB0F931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2C2A8-3D57-4B52-B72C-6DA5B03E5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0D282-095B-41F6-8C08-AF04FA877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F640A-0FDB-4810-B522-B3BA89DC40B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2023-12-07T22:54:00Z</dcterms:created>
  <dcterms:modified xsi:type="dcterms:W3CDTF">2023-12-12T20:16:00Z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