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9BE3" w14:textId="42454BE9" w:rsidR="006A23E4" w:rsidRPr="006A23E4" w:rsidRDefault="006A23E4" w:rsidP="006A23E4">
      <w:pPr>
        <w:autoSpaceDE w:val="0"/>
        <w:autoSpaceDN w:val="0"/>
        <w:adjustRightInd w:val="0"/>
        <w:spacing w:after="120" w:line="240" w:lineRule="auto"/>
        <w:rPr>
          <w:rFonts w:ascii="Arial" w:hAnsi="Arial" w:cs="Arial"/>
          <w:kern w:val="0"/>
          <w:sz w:val="24"/>
          <w:szCs w:val="24"/>
        </w:rPr>
      </w:pPr>
      <w:r w:rsidRPr="006A23E4">
        <w:rPr>
          <w:rFonts w:ascii="Arial" w:hAnsi="Arial" w:cs="Arial"/>
          <w:kern w:val="0"/>
          <w:sz w:val="24"/>
          <w:szCs w:val="24"/>
          <w:lang w:val="en-CA"/>
        </w:rPr>
        <w:fldChar w:fldCharType="begin"/>
      </w:r>
      <w:r w:rsidRPr="006A23E4">
        <w:rPr>
          <w:rFonts w:ascii="Arial" w:hAnsi="Arial" w:cs="Arial"/>
          <w:kern w:val="0"/>
          <w:sz w:val="24"/>
          <w:szCs w:val="24"/>
          <w:lang w:val="en-CA"/>
        </w:rPr>
        <w:instrText xml:space="preserve"> SEQ CHAPTER \h \r 1</w:instrText>
      </w:r>
      <w:r w:rsidRPr="006A23E4">
        <w:rPr>
          <w:rFonts w:ascii="Arial" w:hAnsi="Arial" w:cs="Arial"/>
          <w:kern w:val="0"/>
          <w:sz w:val="24"/>
          <w:szCs w:val="24"/>
          <w:lang w:val="en-CA"/>
        </w:rPr>
        <w:fldChar w:fldCharType="end"/>
      </w:r>
      <w:r w:rsidRPr="006A23E4">
        <w:rPr>
          <w:rFonts w:ascii="Arial" w:hAnsi="Arial" w:cs="Arial"/>
          <w:b/>
          <w:bCs/>
          <w:kern w:val="0"/>
          <w:sz w:val="24"/>
          <w:szCs w:val="24"/>
        </w:rPr>
        <w:t>13-1424. Causation; products liability.</w:t>
      </w:r>
    </w:p>
    <w:p w14:paraId="4A9025D0" w14:textId="2C247CCC" w:rsidR="006A23E4" w:rsidRPr="006A23E4" w:rsidRDefault="006A23E4" w:rsidP="006A23E4">
      <w:pPr>
        <w:autoSpaceDE w:val="0"/>
        <w:autoSpaceDN w:val="0"/>
        <w:adjustRightInd w:val="0"/>
        <w:spacing w:after="0" w:line="240" w:lineRule="auto"/>
        <w:rPr>
          <w:rFonts w:ascii="Arial" w:hAnsi="Arial" w:cs="Arial"/>
          <w:kern w:val="0"/>
          <w:sz w:val="24"/>
          <w:szCs w:val="24"/>
        </w:rPr>
      </w:pPr>
      <w:r w:rsidRPr="006A23E4">
        <w:rPr>
          <w:rFonts w:ascii="Arial" w:hAnsi="Arial" w:cs="Arial"/>
          <w:kern w:val="0"/>
          <w:sz w:val="24"/>
          <w:szCs w:val="24"/>
        </w:rPr>
        <w:tab/>
        <w:t>A defective product1 is "a cause" of [injury] [harm] [_____________ (</w:t>
      </w:r>
      <w:r w:rsidRPr="006A23E4">
        <w:rPr>
          <w:rFonts w:ascii="Arial" w:hAnsi="Arial" w:cs="Arial"/>
          <w:i/>
          <w:iCs/>
          <w:kern w:val="0"/>
          <w:sz w:val="24"/>
          <w:szCs w:val="24"/>
        </w:rPr>
        <w:t>other</w:t>
      </w:r>
      <w:r w:rsidRPr="006A23E4">
        <w:rPr>
          <w:rFonts w:ascii="Arial" w:hAnsi="Arial" w:cs="Arial"/>
          <w:kern w:val="0"/>
          <w:sz w:val="24"/>
          <w:szCs w:val="24"/>
        </w:rPr>
        <w:t>)] if[, unbroken by an independent intervening cause,</w:t>
      </w:r>
      <w:r w:rsidRPr="006A23E4">
        <w:rPr>
          <w:rFonts w:ascii="Arial" w:hAnsi="Arial" w:cs="Arial"/>
          <w:kern w:val="0"/>
          <w:sz w:val="24"/>
          <w:szCs w:val="24"/>
          <w:vertAlign w:val="superscript"/>
        </w:rPr>
        <w:t>2</w:t>
      </w:r>
      <w:r w:rsidRPr="006A23E4">
        <w:rPr>
          <w:rFonts w:ascii="Arial" w:hAnsi="Arial" w:cs="Arial"/>
          <w:kern w:val="0"/>
          <w:sz w:val="24"/>
          <w:szCs w:val="24"/>
        </w:rPr>
        <w:t>] it contributes to bringing about the [injury] [harm] [____________(</w:t>
      </w:r>
      <w:r w:rsidRPr="006A23E4">
        <w:rPr>
          <w:rFonts w:ascii="Arial" w:hAnsi="Arial" w:cs="Arial"/>
          <w:i/>
          <w:iCs/>
          <w:kern w:val="0"/>
          <w:sz w:val="24"/>
          <w:szCs w:val="24"/>
        </w:rPr>
        <w:t>other</w:t>
      </w:r>
      <w:r w:rsidRPr="006A23E4">
        <w:rPr>
          <w:rFonts w:ascii="Arial" w:hAnsi="Arial" w:cs="Arial"/>
          <w:kern w:val="0"/>
          <w:sz w:val="24"/>
          <w:szCs w:val="24"/>
        </w:rPr>
        <w:t>)] [, and if the [injury] [harm] [____________ (</w:t>
      </w:r>
      <w:r w:rsidRPr="006A23E4">
        <w:rPr>
          <w:rFonts w:ascii="Arial" w:hAnsi="Arial" w:cs="Arial"/>
          <w:i/>
          <w:iCs/>
          <w:kern w:val="0"/>
          <w:sz w:val="24"/>
          <w:szCs w:val="24"/>
        </w:rPr>
        <w:t>other</w:t>
      </w:r>
      <w:r w:rsidRPr="006A23E4">
        <w:rPr>
          <w:rFonts w:ascii="Arial" w:hAnsi="Arial" w:cs="Arial"/>
          <w:kern w:val="0"/>
          <w:sz w:val="24"/>
          <w:szCs w:val="24"/>
        </w:rPr>
        <w:t>)] would not have occurred without it].  It need not be the only explanation for the [injury] [harm] [______________ (</w:t>
      </w:r>
      <w:r w:rsidRPr="006A23E4">
        <w:rPr>
          <w:rFonts w:ascii="Arial" w:hAnsi="Arial" w:cs="Arial"/>
          <w:i/>
          <w:iCs/>
          <w:kern w:val="0"/>
          <w:sz w:val="24"/>
          <w:szCs w:val="24"/>
        </w:rPr>
        <w:t>other</w:t>
      </w:r>
      <w:r w:rsidRPr="006A23E4">
        <w:rPr>
          <w:rFonts w:ascii="Arial" w:hAnsi="Arial" w:cs="Arial"/>
          <w:kern w:val="0"/>
          <w:sz w:val="24"/>
          <w:szCs w:val="24"/>
        </w:rPr>
        <w:t>)], nor the reason that is nearest in time or place.  It is sufficient if it occurs in combination with some other cause to produce the result.  To be a "cause," the defective product</w:t>
      </w:r>
      <w:r w:rsidRPr="006A23E4">
        <w:rPr>
          <w:rFonts w:ascii="Arial" w:hAnsi="Arial" w:cs="Arial"/>
          <w:kern w:val="0"/>
          <w:sz w:val="24"/>
          <w:szCs w:val="24"/>
          <w:vertAlign w:val="superscript"/>
        </w:rPr>
        <w:t>1</w:t>
      </w:r>
      <w:r w:rsidRPr="006A23E4">
        <w:rPr>
          <w:rFonts w:ascii="Arial" w:hAnsi="Arial" w:cs="Arial"/>
          <w:kern w:val="0"/>
          <w:sz w:val="24"/>
          <w:szCs w:val="24"/>
        </w:rPr>
        <w:t xml:space="preserve"> must be reasonably connected as a significant link to the [injury] [harm] [____________ (</w:t>
      </w:r>
      <w:r w:rsidRPr="006A23E4">
        <w:rPr>
          <w:rFonts w:ascii="Arial" w:hAnsi="Arial" w:cs="Arial"/>
          <w:i/>
          <w:iCs/>
          <w:kern w:val="0"/>
          <w:sz w:val="24"/>
          <w:szCs w:val="24"/>
        </w:rPr>
        <w:t>other</w:t>
      </w:r>
      <w:r w:rsidRPr="006A23E4">
        <w:rPr>
          <w:rFonts w:ascii="Arial" w:hAnsi="Arial" w:cs="Arial"/>
          <w:kern w:val="0"/>
          <w:sz w:val="24"/>
          <w:szCs w:val="24"/>
        </w:rPr>
        <w:t xml:space="preserve">)]. </w:t>
      </w:r>
    </w:p>
    <w:p w14:paraId="170767F1" w14:textId="77777777" w:rsidR="006A23E4" w:rsidRPr="006A23E4" w:rsidRDefault="006A23E4" w:rsidP="006A23E4">
      <w:pPr>
        <w:autoSpaceDE w:val="0"/>
        <w:autoSpaceDN w:val="0"/>
        <w:adjustRightInd w:val="0"/>
        <w:spacing w:after="0" w:line="240" w:lineRule="auto"/>
        <w:rPr>
          <w:rFonts w:ascii="Arial" w:hAnsi="Arial" w:cs="Arial"/>
          <w:kern w:val="0"/>
          <w:sz w:val="24"/>
          <w:szCs w:val="24"/>
        </w:rPr>
      </w:pPr>
    </w:p>
    <w:p w14:paraId="122B580E" w14:textId="704EF371" w:rsidR="006A23E4" w:rsidRPr="006A23E4" w:rsidRDefault="006A23E4" w:rsidP="006A23E4">
      <w:pPr>
        <w:autoSpaceDE w:val="0"/>
        <w:autoSpaceDN w:val="0"/>
        <w:adjustRightInd w:val="0"/>
        <w:spacing w:after="120" w:line="240" w:lineRule="auto"/>
        <w:jc w:val="center"/>
        <w:rPr>
          <w:rFonts w:ascii="Arial" w:hAnsi="Arial" w:cs="Arial"/>
          <w:kern w:val="0"/>
          <w:sz w:val="24"/>
          <w:szCs w:val="24"/>
        </w:rPr>
      </w:pPr>
      <w:r w:rsidRPr="006A23E4">
        <w:rPr>
          <w:rFonts w:ascii="Arial" w:hAnsi="Arial" w:cs="Arial"/>
          <w:kern w:val="0"/>
          <w:sz w:val="24"/>
          <w:szCs w:val="24"/>
        </w:rPr>
        <w:t>USE NOTE</w:t>
      </w:r>
      <w:r>
        <w:rPr>
          <w:rFonts w:ascii="Arial" w:hAnsi="Arial" w:cs="Arial"/>
          <w:kern w:val="0"/>
          <w:sz w:val="24"/>
          <w:szCs w:val="24"/>
        </w:rPr>
        <w:t>S</w:t>
      </w:r>
    </w:p>
    <w:p w14:paraId="23DDB9D9" w14:textId="77777777" w:rsidR="006A23E4" w:rsidRPr="006A23E4" w:rsidRDefault="006A23E4" w:rsidP="006A23E4">
      <w:pPr>
        <w:autoSpaceDE w:val="0"/>
        <w:autoSpaceDN w:val="0"/>
        <w:adjustRightInd w:val="0"/>
        <w:spacing w:after="0" w:line="240" w:lineRule="auto"/>
        <w:rPr>
          <w:rFonts w:ascii="Arial" w:hAnsi="Arial" w:cs="Arial"/>
          <w:kern w:val="0"/>
          <w:sz w:val="24"/>
          <w:szCs w:val="24"/>
        </w:rPr>
      </w:pPr>
      <w:r w:rsidRPr="006A23E4">
        <w:rPr>
          <w:rFonts w:ascii="Arial" w:hAnsi="Arial" w:cs="Arial"/>
          <w:kern w:val="0"/>
          <w:sz w:val="24"/>
          <w:szCs w:val="24"/>
        </w:rPr>
        <w:tab/>
        <w:t>1.</w:t>
      </w:r>
      <w:r w:rsidRPr="006A23E4">
        <w:rPr>
          <w:rFonts w:ascii="Arial" w:hAnsi="Arial" w:cs="Arial"/>
          <w:kern w:val="0"/>
          <w:sz w:val="24"/>
          <w:szCs w:val="24"/>
        </w:rPr>
        <w:tab/>
      </w:r>
      <w:r w:rsidRPr="006A23E4">
        <w:rPr>
          <w:rFonts w:ascii="Arial" w:hAnsi="Arial" w:cs="Arial"/>
          <w:i/>
          <w:iCs/>
          <w:kern w:val="0"/>
          <w:sz w:val="24"/>
          <w:szCs w:val="24"/>
        </w:rPr>
        <w:t>See</w:t>
      </w:r>
      <w:r w:rsidRPr="006A23E4">
        <w:rPr>
          <w:rFonts w:ascii="Arial" w:hAnsi="Arial" w:cs="Arial"/>
          <w:kern w:val="0"/>
          <w:sz w:val="24"/>
          <w:szCs w:val="24"/>
        </w:rPr>
        <w:t xml:space="preserve"> UJIs 13-1406 and 13-1407 NMRA for a definition of "defective product." </w:t>
      </w:r>
    </w:p>
    <w:p w14:paraId="0C2F8C7B" w14:textId="77777777" w:rsidR="006A23E4" w:rsidRPr="006A23E4" w:rsidRDefault="006A23E4" w:rsidP="006A23E4">
      <w:pPr>
        <w:autoSpaceDE w:val="0"/>
        <w:autoSpaceDN w:val="0"/>
        <w:adjustRightInd w:val="0"/>
        <w:spacing w:after="0" w:line="240" w:lineRule="auto"/>
        <w:rPr>
          <w:rFonts w:ascii="Arial" w:hAnsi="Arial" w:cs="Arial"/>
          <w:kern w:val="0"/>
          <w:sz w:val="24"/>
          <w:szCs w:val="24"/>
        </w:rPr>
      </w:pPr>
      <w:r w:rsidRPr="006A23E4">
        <w:rPr>
          <w:rFonts w:ascii="Arial" w:hAnsi="Arial" w:cs="Arial"/>
          <w:kern w:val="0"/>
          <w:sz w:val="24"/>
          <w:szCs w:val="24"/>
        </w:rPr>
        <w:tab/>
        <w:t>2.</w:t>
      </w:r>
      <w:r w:rsidRPr="006A23E4">
        <w:rPr>
          <w:rFonts w:ascii="Arial" w:hAnsi="Arial" w:cs="Arial"/>
          <w:kern w:val="0"/>
          <w:sz w:val="24"/>
          <w:szCs w:val="24"/>
        </w:rPr>
        <w:tab/>
        <w:t xml:space="preserve">The bracketed phrase referring to independent intervening cause and UJI 13-1424A NMRA will be used only if there is sufficient evidence of an independent intervening cause.  </w:t>
      </w:r>
      <w:r w:rsidRPr="006A23E4">
        <w:rPr>
          <w:rFonts w:ascii="Arial" w:hAnsi="Arial" w:cs="Arial"/>
          <w:i/>
          <w:iCs/>
          <w:kern w:val="0"/>
          <w:sz w:val="24"/>
          <w:szCs w:val="24"/>
        </w:rPr>
        <w:t>Torres v. El Paso Electric Co.</w:t>
      </w:r>
      <w:r w:rsidRPr="006A23E4">
        <w:rPr>
          <w:rFonts w:ascii="Arial" w:hAnsi="Arial" w:cs="Arial"/>
          <w:kern w:val="0"/>
          <w:sz w:val="24"/>
          <w:szCs w:val="24"/>
        </w:rPr>
        <w:t>, 1999-NMSC-029, 127 N.M. 729, 987 P.2d 386, dramatically limits the application of independent intervening cause under New Mexico law.  The phrase is to be used when there is an unforeseeable force, not in operation at the time the defendant acted, that is not a concurrent cause of the plaintiff’s injury.</w:t>
      </w:r>
      <w:r w:rsidRPr="006A23E4">
        <w:rPr>
          <w:rFonts w:ascii="Arial" w:hAnsi="Arial" w:cs="Arial"/>
          <w:i/>
          <w:iCs/>
          <w:kern w:val="0"/>
          <w:sz w:val="24"/>
          <w:szCs w:val="24"/>
        </w:rPr>
        <w:t xml:space="preserve">  Chamberland v. Roswell Osteopathic Clinic, Inc</w:t>
      </w:r>
      <w:r w:rsidRPr="006A23E4">
        <w:rPr>
          <w:rFonts w:ascii="Arial" w:hAnsi="Arial" w:cs="Arial"/>
          <w:kern w:val="0"/>
          <w:sz w:val="24"/>
          <w:szCs w:val="24"/>
        </w:rPr>
        <w:t xml:space="preserve">., 2001-NMCA-045, 130 N.M. 532, 27 P.3d 1019.  Independent intervening cause is not appropriate when a defendant is merely arguing lack of causation. </w:t>
      </w:r>
    </w:p>
    <w:p w14:paraId="172D0B93" w14:textId="77777777" w:rsidR="006A23E4" w:rsidRPr="006A23E4" w:rsidRDefault="006A23E4" w:rsidP="006A23E4">
      <w:pPr>
        <w:autoSpaceDE w:val="0"/>
        <w:autoSpaceDN w:val="0"/>
        <w:adjustRightInd w:val="0"/>
        <w:spacing w:after="0" w:line="240" w:lineRule="auto"/>
        <w:rPr>
          <w:rFonts w:ascii="Arial" w:hAnsi="Arial" w:cs="Arial"/>
          <w:kern w:val="0"/>
          <w:sz w:val="24"/>
          <w:szCs w:val="24"/>
        </w:rPr>
      </w:pPr>
      <w:r w:rsidRPr="006A23E4">
        <w:rPr>
          <w:rFonts w:ascii="Arial" w:hAnsi="Arial" w:cs="Arial"/>
          <w:kern w:val="0"/>
          <w:sz w:val="24"/>
          <w:szCs w:val="24"/>
        </w:rPr>
        <w:t>The applicable portions of this instruction must be used in all products liability cases.  In an appropriate case, this instruction will be followed by UJI 13-1424A, 13-1425 or 13-1426 NMRA.</w:t>
      </w:r>
    </w:p>
    <w:p w14:paraId="3645075F" w14:textId="716AE01C" w:rsidR="002B2348" w:rsidRPr="006A23E4" w:rsidRDefault="006A23E4" w:rsidP="006A23E4">
      <w:pPr>
        <w:rPr>
          <w:rFonts w:ascii="Arial" w:hAnsi="Arial" w:cs="Arial"/>
        </w:rPr>
      </w:pPr>
      <w:r w:rsidRPr="006A23E4">
        <w:rPr>
          <w:rFonts w:ascii="Arial" w:hAnsi="Arial" w:cs="Arial"/>
          <w:kern w:val="0"/>
          <w:sz w:val="24"/>
          <w:szCs w:val="24"/>
        </w:rPr>
        <w:t xml:space="preserve">[As amended, effective March 1, 2005; as amended by Supreme Court Order No. 11-8300-003, effective March 21, 2011.] </w:t>
      </w:r>
    </w:p>
    <w:sectPr w:rsidR="002B2348" w:rsidRPr="006A2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E4"/>
    <w:rsid w:val="002B2348"/>
    <w:rsid w:val="006A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A539"/>
  <w15:chartTrackingRefBased/>
  <w15:docId w15:val="{C805035F-3F90-488B-85AE-DBFEB33F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A36956-E50F-46F3-AA1C-720F5FA72B1F}"/>
</file>

<file path=customXml/itemProps2.xml><?xml version="1.0" encoding="utf-8"?>
<ds:datastoreItem xmlns:ds="http://schemas.openxmlformats.org/officeDocument/2006/customXml" ds:itemID="{77CCE401-AB6E-4EF8-9E84-5C83510F5231}"/>
</file>

<file path=customXml/itemProps3.xml><?xml version="1.0" encoding="utf-8"?>
<ds:datastoreItem xmlns:ds="http://schemas.openxmlformats.org/officeDocument/2006/customXml" ds:itemID="{EC0CA69B-36C1-40E5-AA5C-020E10636BA5}"/>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2023-11-15T21:44:00Z</dcterms:created>
  <dcterms:modified xsi:type="dcterms:W3CDTF">2023-11-15T21:45:00Z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