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E454" w14:textId="77777777" w:rsidR="004F1C6D" w:rsidRPr="004F1C6D" w:rsidRDefault="004F1C6D" w:rsidP="004F1C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4F1C6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4F1C6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4F1C6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4F1C6D">
        <w:rPr>
          <w:rFonts w:ascii="Arial" w:hAnsi="Arial" w:cs="Arial"/>
          <w:b/>
          <w:bCs/>
          <w:kern w:val="0"/>
          <w:sz w:val="24"/>
          <w:szCs w:val="24"/>
        </w:rPr>
        <w:t>13-1413. Manufacturer and lessor; duty to inspect; imputed knowledge.</w:t>
      </w:r>
      <w:r w:rsidRPr="004F1C6D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8685B0E" w14:textId="05A7C548" w:rsidR="004F1C6D" w:rsidRPr="004F1C6D" w:rsidRDefault="004F1C6D" w:rsidP="004F1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1C6D">
        <w:rPr>
          <w:rFonts w:ascii="Arial" w:hAnsi="Arial" w:cs="Arial"/>
          <w:kern w:val="0"/>
          <w:sz w:val="24"/>
          <w:szCs w:val="24"/>
        </w:rPr>
        <w:tab/>
        <w:t xml:space="preserve">A [manufacturer of a product] [lessor regularly engaged in leasing a product] must use ordinary care to inspect the product for conditions which will expose users [bystanders] to risk of injury and is charged with knowledge of that which a reasonable inspection would disclose. </w:t>
      </w:r>
    </w:p>
    <w:p w14:paraId="067A218C" w14:textId="1ABF2C9B" w:rsidR="004F1C6D" w:rsidRPr="004F1C6D" w:rsidRDefault="004F1C6D" w:rsidP="004F1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65BC32" w14:textId="5D2C568B" w:rsidR="004F1C6D" w:rsidRPr="004F1C6D" w:rsidRDefault="004F1C6D" w:rsidP="004F1C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F1C6D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7F196D1" w14:textId="2D576053" w:rsidR="004F1C6D" w:rsidRPr="004F1C6D" w:rsidRDefault="004F1C6D" w:rsidP="004F1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1C6D">
        <w:rPr>
          <w:rFonts w:ascii="Arial" w:hAnsi="Arial" w:cs="Arial"/>
          <w:kern w:val="0"/>
          <w:sz w:val="24"/>
          <w:szCs w:val="24"/>
        </w:rPr>
        <w:tab/>
        <w:t xml:space="preserve">This instruction shall be given only if an issue exists concerning the necessity for, and adequacy of, inspection of the product and competent evidence has been presented to support a contention that a failure to inspect proximately caused plaintiff's injury. The instruction shall not be given unless the defendant supplier is either the manufacturer or a lessor of the product. For other suppliers, the duty to inspect is stated in UJI 13-1414. </w:t>
      </w:r>
    </w:p>
    <w:p w14:paraId="02472612" w14:textId="096C4C7E" w:rsidR="003842FE" w:rsidRPr="004F1C6D" w:rsidRDefault="004F1C6D" w:rsidP="004F1C6D">
      <w:pPr>
        <w:rPr>
          <w:rFonts w:ascii="Arial" w:hAnsi="Arial" w:cs="Arial"/>
        </w:rPr>
      </w:pPr>
      <w:r w:rsidRPr="004F1C6D">
        <w:rPr>
          <w:rFonts w:ascii="Arial" w:hAnsi="Arial" w:cs="Arial"/>
          <w:kern w:val="0"/>
          <w:sz w:val="24"/>
          <w:szCs w:val="24"/>
        </w:rPr>
        <w:tab/>
        <w:t xml:space="preserve">Use of the appropriate brackets depends upon the identity of the defendant as manufacturer or lessor; bracketed "bystander" should be used where plaintiff was injured, but not while using the product. </w:t>
      </w:r>
    </w:p>
    <w:sectPr w:rsidR="003842FE" w:rsidRPr="004F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6D"/>
    <w:rsid w:val="003842FE"/>
    <w:rsid w:val="004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B3A9"/>
  <w15:chartTrackingRefBased/>
  <w15:docId w15:val="{7775156B-0A05-4A4F-BA23-B0DCBFB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D72F52-AE08-4F36-BD1F-910016AC17DB}"/>
</file>

<file path=customXml/itemProps2.xml><?xml version="1.0" encoding="utf-8"?>
<ds:datastoreItem xmlns:ds="http://schemas.openxmlformats.org/officeDocument/2006/customXml" ds:itemID="{2B092557-C3DB-4E9E-8C91-2F5A6A64719B}"/>
</file>

<file path=customXml/itemProps3.xml><?xml version="1.0" encoding="utf-8"?>
<ds:datastoreItem xmlns:ds="http://schemas.openxmlformats.org/officeDocument/2006/customXml" ds:itemID="{1DB48F2A-1DC7-423D-AF05-A85288475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2023-11-15T16:22:00Z</dcterms:created>
  <dcterms:modified xsi:type="dcterms:W3CDTF">2023-11-15T16:23:00Z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