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C898" w14:textId="4D40BE3B" w:rsidR="00652F3E" w:rsidRPr="00652F3E" w:rsidRDefault="00652F3E" w:rsidP="00652F3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652F3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652F3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652F3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652F3E">
        <w:rPr>
          <w:rFonts w:ascii="Arial" w:hAnsi="Arial" w:cs="Arial"/>
          <w:b/>
          <w:bCs/>
          <w:kern w:val="0"/>
          <w:sz w:val="24"/>
          <w:szCs w:val="24"/>
        </w:rPr>
        <w:t>13-1503. Violation of statute; causation.</w:t>
      </w:r>
    </w:p>
    <w:p w14:paraId="68043AE3" w14:textId="42F85E26" w:rsidR="00652F3E" w:rsidRPr="00652F3E" w:rsidRDefault="00652F3E" w:rsidP="00652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F3E">
        <w:rPr>
          <w:rFonts w:ascii="Arial" w:hAnsi="Arial" w:cs="Arial"/>
          <w:kern w:val="0"/>
          <w:sz w:val="24"/>
          <w:szCs w:val="24"/>
        </w:rPr>
        <w:tab/>
        <w:t xml:space="preserve">Negligence resulting from a violation of a[n] [statute] [or] [ordinance] is no different in effect from that resulting from other acts or omissions constituting negligence.  In each case the negligence is of no consequence unless it was a cause of or contributed to, an injury found by you to have been suffered by the plaintiff. </w:t>
      </w:r>
    </w:p>
    <w:p w14:paraId="0554150F" w14:textId="47CEC2E3" w:rsidR="00652F3E" w:rsidRPr="00652F3E" w:rsidRDefault="00652F3E" w:rsidP="00652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5B8A28A" w14:textId="4A23573A" w:rsidR="00652F3E" w:rsidRPr="00652F3E" w:rsidRDefault="00652F3E" w:rsidP="00652F3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52F3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740438E" w14:textId="59CF94F2" w:rsidR="00652F3E" w:rsidRPr="00652F3E" w:rsidRDefault="00652F3E" w:rsidP="00652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F3E">
        <w:rPr>
          <w:rFonts w:ascii="Arial" w:hAnsi="Arial" w:cs="Arial"/>
          <w:kern w:val="0"/>
          <w:sz w:val="24"/>
          <w:szCs w:val="24"/>
        </w:rPr>
        <w:tab/>
        <w:t xml:space="preserve">Where there are various claims of negligence arising from the same act or acts of a party, it may be proper to give this instruction immediately following one of the other instructions in this chapter. </w:t>
      </w:r>
    </w:p>
    <w:p w14:paraId="176C53A3" w14:textId="786E852F" w:rsidR="00652F3E" w:rsidRPr="00652F3E" w:rsidRDefault="00652F3E" w:rsidP="00652F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652F3E">
        <w:rPr>
          <w:rFonts w:ascii="Arial" w:hAnsi="Arial" w:cs="Arial"/>
          <w:kern w:val="0"/>
          <w:sz w:val="24"/>
          <w:szCs w:val="24"/>
        </w:rPr>
        <w:tab/>
        <w:t xml:space="preserve">The instruction will need to be modified and amended if it is the defendant contending that the plaintiff's damages were due to the plaintiff's violation of the statute or ordinance. </w:t>
      </w:r>
    </w:p>
    <w:p w14:paraId="0E36333F" w14:textId="31D15EC5" w:rsidR="00D16668" w:rsidRPr="00652F3E" w:rsidRDefault="00652F3E" w:rsidP="00652F3E">
      <w:pPr>
        <w:rPr>
          <w:rFonts w:ascii="Arial" w:hAnsi="Arial" w:cs="Arial"/>
        </w:rPr>
      </w:pPr>
      <w:r w:rsidRPr="00652F3E">
        <w:rPr>
          <w:rFonts w:ascii="Arial" w:hAnsi="Arial" w:cs="Arial"/>
          <w:kern w:val="0"/>
          <w:sz w:val="24"/>
          <w:szCs w:val="24"/>
        </w:rPr>
        <w:t>[As amended, effective November 1, 1991; March 1, 2005.]</w:t>
      </w:r>
    </w:p>
    <w:sectPr w:rsidR="00D16668" w:rsidRPr="00652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3E"/>
    <w:rsid w:val="00652F3E"/>
    <w:rsid w:val="00D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A603"/>
  <w15:chartTrackingRefBased/>
  <w15:docId w15:val="{494E5130-35D6-498C-A898-82BA6ACF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082E2-A672-43FC-B684-DB6E127B31B2}"/>
</file>

<file path=customXml/itemProps2.xml><?xml version="1.0" encoding="utf-8"?>
<ds:datastoreItem xmlns:ds="http://schemas.openxmlformats.org/officeDocument/2006/customXml" ds:itemID="{ABD7B436-5ACA-4B22-87B9-3DE3C0981BFC}"/>
</file>

<file path=customXml/itemProps3.xml><?xml version="1.0" encoding="utf-8"?>
<ds:datastoreItem xmlns:ds="http://schemas.openxmlformats.org/officeDocument/2006/customXml" ds:itemID="{40EEE6FF-BADE-4866-972E-B67B4923B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2023-11-15T22:26:00Z</dcterms:created>
  <dcterms:modified xsi:type="dcterms:W3CDTF">2023-11-15T22:27:00Z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