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A97F" w14:textId="768B7086" w:rsidR="00DE6740" w:rsidRPr="00DE6740" w:rsidRDefault="00DE6740" w:rsidP="00DE6740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kern w:val="0"/>
          <w:sz w:val="24"/>
          <w:szCs w:val="24"/>
        </w:rPr>
      </w:pPr>
      <w:r w:rsidRPr="00DE674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E674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E674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E6740">
        <w:rPr>
          <w:rFonts w:ascii="Arial" w:hAnsi="Arial" w:cs="Arial"/>
          <w:b/>
          <w:bCs/>
          <w:kern w:val="0"/>
          <w:sz w:val="24"/>
          <w:szCs w:val="24"/>
        </w:rPr>
        <w:t>13-1013. Defense of truthfulness.</w:t>
      </w:r>
    </w:p>
    <w:p w14:paraId="22A85118" w14:textId="2AACA481" w:rsidR="00DE6740" w:rsidRPr="00DE6740" w:rsidRDefault="00DE6740" w:rsidP="00DE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6740">
        <w:rPr>
          <w:rFonts w:ascii="Arial" w:hAnsi="Arial" w:cs="Arial"/>
          <w:kern w:val="0"/>
          <w:sz w:val="24"/>
          <w:szCs w:val="24"/>
        </w:rPr>
        <w:tab/>
        <w:t>[Truth is a defense to this action.</w:t>
      </w:r>
    </w:p>
    <w:p w14:paraId="2E3BC509" w14:textId="67344BEF" w:rsidR="00DE6740" w:rsidRPr="00DE6740" w:rsidRDefault="00DE6740" w:rsidP="00DE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6740">
        <w:rPr>
          <w:rFonts w:ascii="Arial" w:hAnsi="Arial" w:cs="Arial"/>
          <w:kern w:val="0"/>
          <w:sz w:val="24"/>
          <w:szCs w:val="24"/>
        </w:rPr>
        <w:tab/>
        <w:t xml:space="preserve">To establish the defense of truth, defendant must prove that the statement was substantially true, which means that the statement was true in all material particulars.] </w:t>
      </w:r>
    </w:p>
    <w:p w14:paraId="4602B067" w14:textId="5C5200AA" w:rsidR="00DE6740" w:rsidRPr="00DE6740" w:rsidRDefault="00DE6740" w:rsidP="00DE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3639DB" w14:textId="2C922E89" w:rsidR="00DE6740" w:rsidRPr="00DE6740" w:rsidRDefault="00DE6740" w:rsidP="00DE6740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E6740">
        <w:rPr>
          <w:rFonts w:ascii="Arial" w:hAnsi="Arial" w:cs="Arial"/>
          <w:kern w:val="0"/>
          <w:sz w:val="24"/>
          <w:szCs w:val="24"/>
        </w:rPr>
        <w:t>USE NOTE</w:t>
      </w:r>
      <w:r w:rsidR="00387235">
        <w:rPr>
          <w:rFonts w:ascii="Arial" w:hAnsi="Arial" w:cs="Arial"/>
          <w:kern w:val="0"/>
          <w:sz w:val="24"/>
          <w:szCs w:val="24"/>
        </w:rPr>
        <w:t>S</w:t>
      </w:r>
    </w:p>
    <w:p w14:paraId="6B56699D" w14:textId="25F5CA2C" w:rsidR="00DE6740" w:rsidRPr="00DE6740" w:rsidRDefault="00DE6740" w:rsidP="00DE67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6740">
        <w:rPr>
          <w:rFonts w:ascii="Arial" w:hAnsi="Arial" w:cs="Arial"/>
          <w:kern w:val="0"/>
          <w:sz w:val="24"/>
          <w:szCs w:val="24"/>
        </w:rPr>
        <w:tab/>
        <w:t xml:space="preserve">This instruction informs the jury that the defendant has the burden of proving truth as a defense to a defamation action. It is contradictory to UJI 13-1006 which assigns to the plaintiff the burden of proving falsity as part of plaintiff's prima facie case. This instruction is used instead of UJI 13-1006 when the judge determines that the plaintiff is a private figure who is suing a media defendant for publication of defamatory matter not of public concern. </w:t>
      </w:r>
      <w:r w:rsidRPr="00DE6740">
        <w:rPr>
          <w:rFonts w:ascii="Arial" w:hAnsi="Arial" w:cs="Arial"/>
          <w:i/>
          <w:iCs/>
          <w:kern w:val="0"/>
          <w:sz w:val="24"/>
          <w:szCs w:val="24"/>
        </w:rPr>
        <w:t>See Philadelphia Newspapers, Inc. v. Hepps</w:t>
      </w:r>
      <w:r w:rsidRPr="00DE6740">
        <w:rPr>
          <w:rFonts w:ascii="Arial" w:hAnsi="Arial" w:cs="Arial"/>
          <w:kern w:val="0"/>
          <w:sz w:val="24"/>
          <w:szCs w:val="24"/>
        </w:rPr>
        <w:t xml:space="preserve">, 475 U.S. 767, 106 S. Ct. 1558, 89 L. Ed. 2d 783 (1986). When this instruction is given in lieu of UJI 13-1006, the court should modify UJI 13-1002(B), (C) and (D) to reflect the placement of the burden of proof of falsity upon the defendant. </w:t>
      </w:r>
    </w:p>
    <w:p w14:paraId="00F0C1FA" w14:textId="34E16944" w:rsidR="004719A4" w:rsidRPr="00DE6740" w:rsidRDefault="00DE6740" w:rsidP="00DE6740">
      <w:pPr>
        <w:rPr>
          <w:rFonts w:ascii="Arial" w:hAnsi="Arial" w:cs="Arial"/>
        </w:rPr>
      </w:pPr>
      <w:r w:rsidRPr="00DE6740">
        <w:rPr>
          <w:rFonts w:ascii="Arial" w:hAnsi="Arial" w:cs="Arial"/>
          <w:kern w:val="0"/>
          <w:sz w:val="24"/>
          <w:szCs w:val="24"/>
        </w:rPr>
        <w:tab/>
        <w:t xml:space="preserve">The trial judge should determine whether a matter is one of private or public concern, just as the judge must determine whether a plaintiff is a public official or public figure as a matter of law. </w:t>
      </w:r>
      <w:r w:rsidRPr="00DE6740">
        <w:rPr>
          <w:rFonts w:ascii="Arial" w:hAnsi="Arial" w:cs="Arial"/>
          <w:i/>
          <w:iCs/>
          <w:kern w:val="0"/>
          <w:sz w:val="24"/>
          <w:szCs w:val="24"/>
        </w:rPr>
        <w:t>See Marchiondo v. Brown</w:t>
      </w:r>
      <w:r w:rsidRPr="00DE6740">
        <w:rPr>
          <w:rFonts w:ascii="Arial" w:hAnsi="Arial" w:cs="Arial"/>
          <w:kern w:val="0"/>
          <w:sz w:val="24"/>
          <w:szCs w:val="24"/>
        </w:rPr>
        <w:t>, 98 N.M. 394, 399, 649 P.2d 462, 467 (1982). Criteria for determining when the communication is a matter of public concern are contained in</w:t>
      </w:r>
      <w:r w:rsidRPr="00DE6740">
        <w:rPr>
          <w:rFonts w:ascii="Arial" w:hAnsi="Arial" w:cs="Arial"/>
          <w:i/>
          <w:iCs/>
          <w:kern w:val="0"/>
          <w:sz w:val="24"/>
          <w:szCs w:val="24"/>
        </w:rPr>
        <w:t xml:space="preserve"> Dun &amp; Bradstreet, Inc. v. Greenmoss Builders, Inc</w:t>
      </w:r>
      <w:r w:rsidRPr="00DE6740">
        <w:rPr>
          <w:rFonts w:ascii="Arial" w:hAnsi="Arial" w:cs="Arial"/>
          <w:kern w:val="0"/>
          <w:sz w:val="24"/>
          <w:szCs w:val="24"/>
        </w:rPr>
        <w:t xml:space="preserve">., 472 U.S. 749, 105 S. Ct. 2939, 2947, 86 L. Ed. 2d 593 (1985). </w:t>
      </w:r>
    </w:p>
    <w:sectPr w:rsidR="004719A4" w:rsidRPr="00DE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40"/>
    <w:rsid w:val="00387235"/>
    <w:rsid w:val="004719A4"/>
    <w:rsid w:val="00D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98A6"/>
  <w15:chartTrackingRefBased/>
  <w15:docId w15:val="{93A76DA2-9865-4E46-99A4-E1CD2C3B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89ABC-F41F-4815-87BB-DD59ACFD2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A3505-1628-4DE6-9AA5-70A97B2F899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117059FD-9651-4299-AA1A-67759385D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2</cp:revision>
  <dcterms:created xsi:type="dcterms:W3CDTF">2023-11-07T22:34:00Z</dcterms:created>
  <dcterms:modified xsi:type="dcterms:W3CDTF">2023-11-08T23:28:00Z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